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关于《</w:t>
      </w:r>
      <w:r>
        <w:rPr>
          <w:rFonts w:hint="eastAsia" w:ascii="方正小标宋简体" w:hAnsi="方正小标宋简体" w:eastAsia="方正小标宋简体" w:cs="方正小标宋简体"/>
          <w:b w:val="0"/>
          <w:bCs w:val="0"/>
          <w:sz w:val="44"/>
          <w:szCs w:val="44"/>
          <w:highlight w:val="none"/>
          <w:lang w:eastAsia="zh-CN"/>
        </w:rPr>
        <w:t>国家税务总局</w:t>
      </w:r>
      <w:r>
        <w:rPr>
          <w:rFonts w:hint="eastAsia" w:ascii="方正小标宋简体" w:hAnsi="方正小标宋简体" w:eastAsia="方正小标宋简体" w:cs="方正小标宋简体"/>
          <w:b w:val="0"/>
          <w:bCs w:val="0"/>
          <w:sz w:val="44"/>
          <w:szCs w:val="44"/>
          <w:highlight w:val="none"/>
        </w:rPr>
        <w:t>四川省税务局</w:t>
      </w:r>
      <w:r>
        <w:rPr>
          <w:rFonts w:hint="eastAsia" w:ascii="方正小标宋简体" w:hAnsi="方正小标宋简体" w:eastAsia="方正小标宋简体" w:cs="方正小标宋简体"/>
          <w:b w:val="0"/>
          <w:bCs w:val="0"/>
          <w:sz w:val="44"/>
          <w:szCs w:val="4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四川省</w:t>
      </w:r>
      <w:r>
        <w:rPr>
          <w:rFonts w:hint="eastAsia" w:ascii="方正小标宋简体" w:hAnsi="方正小标宋简体" w:eastAsia="方正小标宋简体" w:cs="方正小标宋简体"/>
          <w:b w:val="0"/>
          <w:bCs w:val="0"/>
          <w:sz w:val="44"/>
          <w:szCs w:val="44"/>
          <w:highlight w:val="none"/>
          <w:lang w:eastAsia="zh-CN"/>
        </w:rPr>
        <w:t>财政厅</w:t>
      </w:r>
      <w:r>
        <w:rPr>
          <w:rFonts w:hint="eastAsia" w:ascii="方正小标宋简体" w:hAnsi="方正小标宋简体" w:eastAsia="方正小标宋简体" w:cs="方正小标宋简体"/>
          <w:b w:val="0"/>
          <w:bCs w:val="0"/>
          <w:sz w:val="44"/>
          <w:szCs w:val="44"/>
          <w:highlight w:val="none"/>
          <w:lang w:val="en-US" w:eastAsia="zh-CN"/>
        </w:rPr>
        <w:t xml:space="preserve"> 四川省</w:t>
      </w:r>
      <w:r>
        <w:rPr>
          <w:rFonts w:hint="eastAsia" w:ascii="方正小标宋简体" w:hAnsi="方正小标宋简体" w:eastAsia="方正小标宋简体" w:cs="方正小标宋简体"/>
          <w:b w:val="0"/>
          <w:bCs w:val="0"/>
          <w:sz w:val="44"/>
          <w:szCs w:val="44"/>
          <w:highlight w:val="none"/>
        </w:rPr>
        <w:t>水利厅关于水资源税征管问题的公告》的解读</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sz w:val="32"/>
          <w:szCs w:val="32"/>
          <w:highlight w:val="none"/>
        </w:rPr>
        <w:t>根据《中华人民共和国资源税</w:t>
      </w:r>
      <w:r>
        <w:rPr>
          <w:rFonts w:hint="eastAsia" w:ascii="仿宋_GB2312" w:hAnsi="仿宋_GB2312" w:eastAsia="仿宋_GB2312" w:cs="仿宋_GB2312"/>
          <w:sz w:val="32"/>
          <w:szCs w:val="32"/>
          <w:highlight w:val="none"/>
          <w:lang w:eastAsia="zh-CN"/>
        </w:rPr>
        <w:t>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《财政部 税务总局 水利部关于印发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水资源税改革试点实施办法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的通知》（财税〔20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，以下简称《实施办法》）、《国家税务总局 财政部 水利部关于水资源税有关征管问题的公告》（</w:t>
      </w:r>
      <w:r>
        <w:rPr>
          <w:rFonts w:hint="eastAsia" w:ascii="仿宋_GB2312" w:hAnsi="仿宋_GB2312" w:eastAsia="仿宋_GB2312" w:cs="仿宋_GB2312"/>
          <w:sz w:val="32"/>
          <w:szCs w:val="32"/>
          <w:lang w:val="en-US" w:eastAsia="zh-CN"/>
        </w:rPr>
        <w:t>国家税务总局 财政部 水利部公告2024年第12号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《四川省人民政府关于</w:t>
      </w:r>
      <w:r>
        <w:rPr>
          <w:rFonts w:hint="eastAsia" w:ascii="仿宋_GB2312" w:hAnsi="仿宋_GB2312" w:eastAsia="仿宋_GB2312" w:cs="仿宋_GB2312"/>
          <w:sz w:val="32"/>
          <w:szCs w:val="32"/>
          <w:highlight w:val="none"/>
          <w:lang w:eastAsia="zh-CN"/>
        </w:rPr>
        <w:t>印发四川省</w:t>
      </w:r>
      <w:r>
        <w:rPr>
          <w:rFonts w:hint="eastAsia" w:ascii="仿宋_GB2312" w:hAnsi="仿宋_GB2312" w:eastAsia="仿宋_GB2312" w:cs="仿宋_GB2312"/>
          <w:sz w:val="32"/>
          <w:szCs w:val="32"/>
          <w:highlight w:val="none"/>
        </w:rPr>
        <w:t>水资源税改革试点</w:t>
      </w:r>
      <w:r>
        <w:rPr>
          <w:rFonts w:hint="eastAsia" w:ascii="仿宋_GB2312" w:hAnsi="仿宋_GB2312" w:eastAsia="仿宋_GB2312" w:cs="仿宋_GB2312"/>
          <w:sz w:val="32"/>
          <w:szCs w:val="32"/>
          <w:highlight w:val="none"/>
          <w:lang w:eastAsia="zh-CN"/>
        </w:rPr>
        <w:t>实施办法</w:t>
      </w:r>
      <w:r>
        <w:rPr>
          <w:rFonts w:hint="eastAsia" w:ascii="仿宋_GB2312" w:hAnsi="仿宋_GB2312" w:eastAsia="仿宋_GB2312" w:cs="仿宋_GB2312"/>
          <w:sz w:val="32"/>
          <w:szCs w:val="32"/>
          <w:highlight w:val="none"/>
        </w:rPr>
        <w:t>的通知》（川府</w:t>
      </w:r>
      <w:r>
        <w:rPr>
          <w:rFonts w:hint="eastAsia" w:ascii="仿宋_GB2312" w:hAnsi="仿宋_GB2312" w:eastAsia="仿宋_GB2312" w:cs="仿宋_GB2312"/>
          <w:sz w:val="32"/>
          <w:szCs w:val="32"/>
          <w:highlight w:val="none"/>
          <w:lang w:eastAsia="zh-CN"/>
        </w:rPr>
        <w:t>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eastAsia="zh-CN"/>
        </w:rPr>
        <w:t>国家税务总局四川省</w:t>
      </w:r>
      <w:r>
        <w:rPr>
          <w:rFonts w:hint="eastAsia" w:ascii="仿宋_GB2312" w:hAnsi="仿宋_GB2312" w:eastAsia="仿宋_GB2312" w:cs="仿宋_GB2312"/>
          <w:sz w:val="32"/>
          <w:szCs w:val="32"/>
        </w:rPr>
        <w:t>税务局、财政</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lang w:val="en-US" w:eastAsia="zh-CN"/>
        </w:rPr>
        <w:t>根据我省水资源税征管实际，</w:t>
      </w:r>
      <w:r>
        <w:rPr>
          <w:rFonts w:hint="eastAsia" w:ascii="仿宋_GB2312" w:hAnsi="仿宋_GB2312" w:eastAsia="仿宋_GB2312" w:cs="仿宋_GB2312"/>
          <w:sz w:val="32"/>
          <w:szCs w:val="32"/>
        </w:rPr>
        <w:t>联合</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eastAsia="zh-CN"/>
        </w:rPr>
        <w:t>四川省税务局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关于水资源税有关征管问题的公告》（202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号，以下简称《公告》）。</w:t>
      </w:r>
      <w:r>
        <w:rPr>
          <w:rFonts w:hint="eastAsia" w:ascii="仿宋_GB2312" w:hAnsi="仿宋_GB2312" w:eastAsia="仿宋_GB2312" w:cs="仿宋_GB2312"/>
          <w:bCs/>
          <w:color w:val="auto"/>
          <w:sz w:val="32"/>
          <w:szCs w:val="32"/>
          <w:highlight w:val="none"/>
        </w:rPr>
        <w:t>现对《公告》主要内容解读如下：</w:t>
      </w:r>
      <w:r>
        <w:rPr>
          <w:rFonts w:hint="eastAsia" w:ascii="仿宋_GB2312" w:hAnsi="仿宋_GB2312" w:eastAsia="仿宋_GB2312" w:cs="仿宋_GB2312"/>
          <w:bCs/>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highlight w:val="none"/>
        </w:rPr>
        <w:t>一、</w:t>
      </w:r>
      <w:r>
        <w:rPr>
          <w:rFonts w:hint="default" w:ascii="Times New Roman" w:hAnsi="Times New Roman" w:eastAsia="黑体" w:cs="Times New Roman"/>
          <w:bCs/>
          <w:color w:val="auto"/>
          <w:sz w:val="32"/>
          <w:szCs w:val="32"/>
          <w:highlight w:val="none"/>
        </w:rPr>
        <w:t>《公告》出台的背景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2024年10月11日，财政部、税务总局和水利部联合制发了</w:t>
      </w:r>
      <w:r>
        <w:rPr>
          <w:rFonts w:hint="eastAsia" w:ascii="仿宋_GB2312" w:hAnsi="仿宋_GB2312" w:eastAsia="仿宋_GB2312" w:cs="仿宋_GB2312"/>
          <w:sz w:val="32"/>
          <w:szCs w:val="32"/>
        </w:rPr>
        <w:t>《财政部 税务总局 水利部关于印发&lt;水资源税改革试点实施办法&gt;的通知》（财税〔2024〕28号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，明确于2024年12月1日在全国范围内实施水资源费改税试点，并制定了</w:t>
      </w:r>
      <w:r>
        <w:rPr>
          <w:rFonts w:hint="eastAsia" w:ascii="仿宋_GB2312" w:hAnsi="仿宋_GB2312" w:eastAsia="仿宋_GB2312" w:cs="仿宋_GB2312"/>
          <w:sz w:val="32"/>
          <w:szCs w:val="32"/>
        </w:rPr>
        <w:t>《国家税务总局 财政部 水利部关于水资源税有关征管问题的公告》（2024年第12号）</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依据上述文件规定，2024年12月31日</w:t>
      </w:r>
      <w:r>
        <w:rPr>
          <w:rFonts w:hint="eastAsia" w:ascii="仿宋_GB2312" w:hAnsi="仿宋_GB2312" w:eastAsia="仿宋_GB2312" w:cs="仿宋_GB2312"/>
          <w:sz w:val="32"/>
          <w:szCs w:val="32"/>
          <w:highlight w:val="none"/>
        </w:rPr>
        <w:t>四川省人民政府</w:t>
      </w:r>
      <w:r>
        <w:rPr>
          <w:rFonts w:hint="eastAsia" w:ascii="仿宋_GB2312" w:hAnsi="仿宋_GB2312" w:eastAsia="仿宋_GB2312" w:cs="仿宋_GB2312"/>
          <w:sz w:val="32"/>
          <w:szCs w:val="32"/>
          <w:highlight w:val="none"/>
          <w:lang w:eastAsia="zh-CN"/>
        </w:rPr>
        <w:t>印发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四川省</w:t>
      </w:r>
      <w:r>
        <w:rPr>
          <w:rFonts w:hint="eastAsia" w:ascii="仿宋_GB2312" w:hAnsi="仿宋_GB2312" w:eastAsia="仿宋_GB2312" w:cs="仿宋_GB2312"/>
          <w:sz w:val="32"/>
          <w:szCs w:val="32"/>
          <w:highlight w:val="none"/>
        </w:rPr>
        <w:t>水资源税改革试点</w:t>
      </w:r>
      <w:r>
        <w:rPr>
          <w:rFonts w:hint="eastAsia" w:ascii="仿宋_GB2312" w:hAnsi="仿宋_GB2312" w:eastAsia="仿宋_GB2312" w:cs="仿宋_GB2312"/>
          <w:sz w:val="32"/>
          <w:szCs w:val="32"/>
          <w:highlight w:val="none"/>
          <w:lang w:eastAsia="zh-CN"/>
        </w:rPr>
        <w:t>实施办法</w:t>
      </w:r>
      <w:r>
        <w:rPr>
          <w:rFonts w:hint="eastAsia" w:ascii="仿宋_GB2312" w:hAnsi="仿宋_GB2312" w:eastAsia="仿宋_GB2312" w:cs="仿宋_GB2312"/>
          <w:sz w:val="32"/>
          <w:szCs w:val="32"/>
          <w:highlight w:val="none"/>
        </w:rPr>
        <w:t>的通知》（川府</w:t>
      </w:r>
      <w:r>
        <w:rPr>
          <w:rFonts w:hint="eastAsia" w:ascii="仿宋_GB2312" w:hAnsi="仿宋_GB2312" w:eastAsia="仿宋_GB2312" w:cs="仿宋_GB2312"/>
          <w:sz w:val="32"/>
          <w:szCs w:val="32"/>
          <w:highlight w:val="none"/>
          <w:lang w:eastAsia="zh-CN"/>
        </w:rPr>
        <w:t>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，以下简称《四川实施办法》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，明确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四川省</w:t>
      </w:r>
      <w:r>
        <w:rPr>
          <w:rFonts w:hint="eastAsia" w:ascii="仿宋_GB2312" w:hAnsi="仿宋_GB2312" w:eastAsia="仿宋_GB2312" w:cs="仿宋_GB2312"/>
          <w:sz w:val="32"/>
          <w:szCs w:val="32"/>
          <w:highlight w:val="none"/>
        </w:rPr>
        <w:t>水资源税改革试点</w:t>
      </w:r>
      <w:r>
        <w:rPr>
          <w:rFonts w:hint="eastAsia" w:ascii="仿宋_GB2312" w:hAnsi="仿宋_GB2312" w:eastAsia="仿宋_GB2312" w:cs="仿宋_GB2312"/>
          <w:sz w:val="32"/>
          <w:szCs w:val="32"/>
          <w:highlight w:val="none"/>
          <w:lang w:eastAsia="zh-CN"/>
        </w:rPr>
        <w:t>实施办法</w:t>
      </w:r>
      <w:r>
        <w:rPr>
          <w:rFonts w:hint="eastAsia" w:ascii="仿宋_GB2312" w:hAnsi="仿宋_GB2312" w:eastAsia="仿宋_GB2312" w:cs="仿宋_GB2312"/>
          <w:sz w:val="32"/>
          <w:szCs w:val="32"/>
          <w:highlight w:val="none"/>
        </w:rPr>
        <w:t>的通知》（川府</w:t>
      </w:r>
      <w:r>
        <w:rPr>
          <w:rFonts w:hint="eastAsia" w:ascii="仿宋_GB2312" w:hAnsi="仿宋_GB2312" w:eastAsia="仿宋_GB2312" w:cs="仿宋_GB2312"/>
          <w:sz w:val="32"/>
          <w:szCs w:val="32"/>
          <w:highlight w:val="none"/>
          <w:lang w:eastAsia="zh-CN"/>
        </w:rPr>
        <w:t>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2017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67</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同时废止。为落实《四川实施办法》规定，</w:t>
      </w:r>
      <w:r>
        <w:rPr>
          <w:rFonts w:hint="eastAsia" w:ascii="仿宋_GB2312" w:hAnsi="仿宋_GB2312" w:eastAsia="仿宋_GB2312" w:cs="仿宋_GB2312"/>
          <w:sz w:val="32"/>
          <w:szCs w:val="32"/>
          <w:lang w:val="en-US" w:eastAsia="zh-CN"/>
        </w:rPr>
        <w:t>同时结合四川省水资源税征管实际，</w:t>
      </w:r>
      <w:r>
        <w:rPr>
          <w:rFonts w:hint="eastAsia" w:ascii="仿宋_GB2312" w:hAnsi="仿宋_GB2312" w:eastAsia="仿宋_GB2312" w:cs="仿宋_GB2312"/>
          <w:sz w:val="32"/>
          <w:szCs w:val="32"/>
          <w:lang w:eastAsia="zh-CN"/>
        </w:rPr>
        <w:t>国家税务总局四川税务局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在广泛听取有关方面意见的基础上，</w:t>
      </w:r>
      <w:r>
        <w:rPr>
          <w:rFonts w:hint="eastAsia" w:ascii="仿宋_GB2312" w:hAnsi="仿宋_GB2312" w:eastAsia="仿宋_GB2312" w:cs="仿宋_GB2312"/>
          <w:sz w:val="32"/>
          <w:szCs w:val="32"/>
          <w:lang w:val="en-US" w:eastAsia="zh-CN"/>
        </w:rPr>
        <w:t>联合</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《公告》。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二、《公告》的主要内容</w:t>
      </w:r>
      <w:r>
        <w:rPr>
          <w:rFonts w:hint="eastAsia" w:ascii="黑体" w:hAnsi="黑体" w:eastAsia="黑体" w:cs="黑体"/>
          <w:b w:val="0"/>
          <w:bCs w:val="0"/>
          <w:sz w:val="32"/>
          <w:szCs w:val="32"/>
          <w:highlight w:val="none"/>
          <w:lang w:eastAsia="zh-CN"/>
        </w:rPr>
        <w:t>解读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eastAsia="zh-CN"/>
        </w:rPr>
        <w:t>共五</w:t>
      </w:r>
      <w:r>
        <w:rPr>
          <w:rFonts w:hint="eastAsia" w:ascii="仿宋_GB2312" w:hAnsi="仿宋_GB2312" w:eastAsia="仿宋_GB2312" w:cs="仿宋_GB2312"/>
          <w:sz w:val="32"/>
          <w:szCs w:val="32"/>
          <w:highlight w:val="none"/>
        </w:rPr>
        <w:t>条，主要</w:t>
      </w:r>
      <w:r>
        <w:rPr>
          <w:rFonts w:hint="eastAsia" w:ascii="仿宋_GB2312" w:hAnsi="仿宋_GB2312" w:eastAsia="仿宋_GB2312" w:cs="仿宋_GB2312"/>
          <w:sz w:val="32"/>
          <w:szCs w:val="32"/>
          <w:highlight w:val="none"/>
          <w:lang w:eastAsia="zh-CN"/>
        </w:rPr>
        <w:t>对申报取用水计划、</w:t>
      </w:r>
      <w:r>
        <w:rPr>
          <w:rFonts w:hint="eastAsia" w:ascii="仿宋_GB2312" w:hAnsi="仿宋_GB2312" w:eastAsia="仿宋_GB2312" w:cs="仿宋_GB2312"/>
          <w:sz w:val="32"/>
          <w:szCs w:val="32"/>
          <w:highlight w:val="none"/>
        </w:rPr>
        <w:t>纳税申报</w:t>
      </w:r>
      <w:r>
        <w:rPr>
          <w:rFonts w:hint="eastAsia" w:ascii="仿宋_GB2312" w:hAnsi="仿宋_GB2312" w:eastAsia="仿宋_GB2312" w:cs="仿宋_GB2312"/>
          <w:sz w:val="32"/>
          <w:szCs w:val="32"/>
          <w:highlight w:val="none"/>
          <w:lang w:eastAsia="zh-CN"/>
        </w:rPr>
        <w:t>期限、水力发电纳税地点等</w:t>
      </w:r>
      <w:r>
        <w:rPr>
          <w:rFonts w:hint="eastAsia" w:ascii="仿宋_GB2312" w:hAnsi="仿宋_GB2312" w:eastAsia="仿宋_GB2312" w:cs="仿宋_GB2312"/>
          <w:sz w:val="32"/>
          <w:szCs w:val="32"/>
          <w:highlight w:val="none"/>
        </w:rPr>
        <w:t>予以明确。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eastAsia="zh-CN"/>
        </w:rPr>
        <w:t>关于</w:t>
      </w:r>
      <w:r>
        <w:rPr>
          <w:rFonts w:hint="eastAsia" w:ascii="楷体_GB2312" w:hAnsi="楷体_GB2312" w:eastAsia="楷体_GB2312" w:cs="楷体_GB2312"/>
          <w:sz w:val="32"/>
          <w:szCs w:val="32"/>
          <w:highlight w:val="none"/>
          <w:lang w:val="en-US" w:eastAsia="zh-CN"/>
        </w:rPr>
        <w:t>申报取用水计划。</w:t>
      </w:r>
      <w:r>
        <w:rPr>
          <w:rFonts w:hint="eastAsia" w:ascii="仿宋_GB2312" w:hAnsi="仿宋_GB2312" w:eastAsia="仿宋_GB2312" w:cs="仿宋_GB2312"/>
          <w:sz w:val="32"/>
          <w:szCs w:val="32"/>
          <w:highlight w:val="none"/>
          <w:lang w:val="en-US" w:eastAsia="zh-CN"/>
        </w:rPr>
        <w:t>根据《四川实施办法》第六条，除水力发电、火力发电贯流式冷却取用水外，对纳税人取用水量超过水行政主管部门下达的年计划部分按适用税额一定比例加征水资源税。为此，《公告》第一条明确纳税人应当于</w:t>
      </w:r>
      <w:r>
        <w:rPr>
          <w:rFonts w:hint="eastAsia" w:ascii="仿宋_GB2312" w:hAnsi="仿宋_GB2312" w:eastAsia="仿宋_GB2312" w:cs="仿宋_GB2312"/>
          <w:b w:val="0"/>
          <w:bCs w:val="0"/>
          <w:color w:val="auto"/>
          <w:kern w:val="0"/>
          <w:sz w:val="32"/>
          <w:szCs w:val="32"/>
          <w:highlight w:val="none"/>
          <w:lang w:val="en-US" w:eastAsia="zh-CN" w:bidi="ar"/>
        </w:rPr>
        <w:t>每年12月31日前按取水审批机关要求申报下一年度取用水计划建议。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关于纳税申报期限。</w:t>
      </w:r>
      <w:r>
        <w:rPr>
          <w:rFonts w:hint="eastAsia" w:ascii="仿宋_GB2312" w:hAnsi="仿宋_GB2312" w:eastAsia="仿宋_GB2312" w:cs="仿宋_GB2312"/>
          <w:sz w:val="32"/>
          <w:szCs w:val="32"/>
          <w:highlight w:val="none"/>
          <w:lang w:val="en-US" w:eastAsia="zh-CN"/>
        </w:rPr>
        <w:t xml:space="preserve">根据《实施办法》第二十一条， </w:t>
      </w:r>
      <w:r>
        <w:rPr>
          <w:rFonts w:hint="eastAsia" w:ascii="仿宋_GB2312" w:hAnsi="仿宋_GB2312" w:eastAsia="仿宋_GB2312" w:cs="仿宋_GB2312"/>
          <w:kern w:val="0"/>
          <w:sz w:val="32"/>
          <w:szCs w:val="32"/>
          <w:lang w:val="en-US" w:eastAsia="zh-CN" w:bidi="ar"/>
        </w:rPr>
        <w:t>主管税务机关根据实际情况确定水资源税按月或者按季申报缴纳，不能按固定期限计算缴纳的，可以按次申报缴纳。对超过规定限额的农业生产取用水，可以按年申报缴纳。为此，《公告》第二条明确我省水资源税按季征收，以保持政策连续性和纳税申报的便利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（三）关于水力发电纳税人纳税地点。</w:t>
      </w:r>
      <w:r>
        <w:rPr>
          <w:rFonts w:hint="eastAsia" w:ascii="仿宋_GB2312" w:hAnsi="仿宋_GB2312" w:eastAsia="仿宋_GB2312" w:cs="仿宋_GB2312"/>
          <w:sz w:val="32"/>
          <w:szCs w:val="32"/>
          <w:highlight w:val="none"/>
          <w:lang w:val="en-US" w:eastAsia="zh-CN"/>
        </w:rPr>
        <w:t>《实施办法》</w:t>
      </w:r>
      <w:r>
        <w:rPr>
          <w:rFonts w:hint="eastAsia" w:ascii="仿宋_GB2312" w:hAnsi="仿宋_GB2312" w:eastAsia="仿宋_GB2312" w:cs="仿宋_GB2312"/>
          <w:kern w:val="0"/>
          <w:sz w:val="32"/>
          <w:szCs w:val="32"/>
          <w:lang w:val="en-US" w:eastAsia="zh-CN" w:bidi="ar"/>
        </w:rPr>
        <w:t>第二十二条第二款规定“各省、自治区、直辖市行政区域内纳税地点确需调整的，</w:t>
      </w:r>
      <w:r>
        <w:rPr>
          <w:rFonts w:hint="eastAsia" w:ascii="仿宋_GB2312" w:hAnsi="仿宋_GB2312" w:eastAsia="仿宋_GB2312" w:cs="仿宋_GB2312"/>
          <w:sz w:val="32"/>
          <w:szCs w:val="32"/>
          <w:highlight w:val="none"/>
          <w:lang w:val="en-US" w:eastAsia="zh-CN"/>
        </w:rPr>
        <w:t xml:space="preserve">由省级财政、税务、水行政主管部门确定”。四川在上一轮水资源税改革试点期间制发了《四川省财政厅 四川省地方税务局 四川省水利厅关于水资源税纳税地点口径的通知》（川财税〔2017〕20号），明确“水力发电取用水的纳税人应当向发电机组所在地的税务机关申报缴纳水资源税”。鉴于该文件的上位法已失效，经财政、税务、水利三部门研究，保持水力发电取用水纳税地点不变并在本《公告》明确，不再另行发文。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highlight w:val="none"/>
          <w:lang w:val="en-US" w:eastAsia="zh-CN"/>
        </w:rPr>
        <w:t>（四）关于税收征管依据。</w:t>
      </w:r>
      <w:r>
        <w:rPr>
          <w:rFonts w:hint="eastAsia" w:ascii="仿宋_GB2312" w:hAnsi="仿宋_GB2312" w:eastAsia="仿宋_GB2312" w:cs="仿宋_GB2312"/>
          <w:sz w:val="32"/>
          <w:szCs w:val="32"/>
          <w:highlight w:val="none"/>
          <w:lang w:val="en-US" w:eastAsia="zh-CN"/>
        </w:rPr>
        <w:t>四川省水资源税的征管按照</w:t>
      </w:r>
      <w:r>
        <w:rPr>
          <w:rFonts w:hint="eastAsia" w:ascii="仿宋_GB2312" w:hAnsi="仿宋_GB2312" w:eastAsia="仿宋_GB2312" w:cs="仿宋_GB2312"/>
          <w:sz w:val="32"/>
          <w:szCs w:val="32"/>
          <w:lang w:eastAsia="zh-CN"/>
        </w:rPr>
        <w:t>《国家税务总局 财政部 水利部关于水资源税有关征管问题的公告》（</w:t>
      </w:r>
      <w:r>
        <w:rPr>
          <w:rFonts w:hint="eastAsia" w:ascii="仿宋_GB2312" w:hAnsi="仿宋_GB2312" w:eastAsia="仿宋_GB2312" w:cs="仿宋_GB2312"/>
          <w:sz w:val="32"/>
          <w:szCs w:val="32"/>
          <w:lang w:val="en-US" w:eastAsia="zh-CN"/>
        </w:rPr>
        <w:t>国家税务总局 财政部 水利部公告2024年第12号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eastAsia="zh-CN"/>
        </w:rPr>
        <w:t>四川省税务局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关于水资源税有关征管问题的公告》（202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lang w:eastAsia="zh-CN"/>
        </w:rPr>
        <w:t>规定执行。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lang w:val="en-US" w:eastAsia="zh-CN"/>
        </w:rPr>
        <w:t>（五）关于生效日期。</w:t>
      </w:r>
      <w:r>
        <w:rPr>
          <w:rFonts w:hint="eastAsia" w:ascii="仿宋_GB2312" w:hAnsi="仿宋_GB2312" w:eastAsia="仿宋_GB2312" w:cs="仿宋_GB2312"/>
          <w:sz w:val="32"/>
          <w:szCs w:val="32"/>
          <w:lang w:val="en-US" w:eastAsia="zh-CN"/>
        </w:rPr>
        <w:t>明确本《</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四川省</w:t>
      </w:r>
      <w:r>
        <w:rPr>
          <w:rFonts w:hint="eastAsia" w:ascii="仿宋_GB2312" w:hAnsi="仿宋_GB2312" w:eastAsia="仿宋_GB2312" w:cs="仿宋_GB2312"/>
          <w:sz w:val="32"/>
          <w:szCs w:val="32"/>
          <w:highlight w:val="none"/>
        </w:rPr>
        <w:t>水资源税改革试点</w:t>
      </w:r>
      <w:r>
        <w:rPr>
          <w:rFonts w:hint="eastAsia" w:ascii="仿宋_GB2312" w:hAnsi="仿宋_GB2312" w:eastAsia="仿宋_GB2312" w:cs="仿宋_GB2312"/>
          <w:sz w:val="32"/>
          <w:szCs w:val="32"/>
          <w:highlight w:val="none"/>
          <w:lang w:eastAsia="zh-CN"/>
        </w:rPr>
        <w:t>实施办法</w:t>
      </w:r>
      <w:r>
        <w:rPr>
          <w:rFonts w:hint="eastAsia" w:ascii="仿宋_GB2312" w:hAnsi="仿宋_GB2312" w:eastAsia="仿宋_GB2312" w:cs="仿宋_GB2312"/>
          <w:sz w:val="32"/>
          <w:szCs w:val="32"/>
          <w:highlight w:val="none"/>
        </w:rPr>
        <w:t>的通知》（川府</w:t>
      </w:r>
      <w:r>
        <w:rPr>
          <w:rFonts w:hint="eastAsia" w:ascii="仿宋_GB2312" w:hAnsi="仿宋_GB2312" w:eastAsia="仿宋_GB2312" w:cs="仿宋_GB2312"/>
          <w:sz w:val="32"/>
          <w:szCs w:val="32"/>
          <w:highlight w:val="none"/>
          <w:lang w:eastAsia="zh-CN"/>
        </w:rPr>
        <w:t>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）的施行时间保持一致。</w:t>
      </w:r>
      <w:bookmarkStart w:id="0" w:name="_GoBack"/>
      <w:bookmarkEnd w:id="0"/>
    </w:p>
    <w:sectPr>
      <w:headerReference r:id="rId3" w:type="default"/>
      <w:footerReference r:id="rId4" w:type="default"/>
      <w:footerReference r:id="rId5" w:type="even"/>
      <w:pgSz w:w="11850" w:h="16838"/>
      <w:pgMar w:top="1757" w:right="1474" w:bottom="136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trackRevisions w:val="true"/>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YjZkM2FmNGIyNjBjYzA5MzU4OGFhMTVkZmJlNjUifQ=="/>
  </w:docVars>
  <w:rsids>
    <w:rsidRoot w:val="005B6034"/>
    <w:rsid w:val="0004036F"/>
    <w:rsid w:val="00086C0F"/>
    <w:rsid w:val="000C3815"/>
    <w:rsid w:val="003108ED"/>
    <w:rsid w:val="003373D2"/>
    <w:rsid w:val="004243AD"/>
    <w:rsid w:val="00510992"/>
    <w:rsid w:val="00520767"/>
    <w:rsid w:val="00553B51"/>
    <w:rsid w:val="005B6034"/>
    <w:rsid w:val="006328FD"/>
    <w:rsid w:val="00736793"/>
    <w:rsid w:val="00784419"/>
    <w:rsid w:val="00846EF7"/>
    <w:rsid w:val="00895458"/>
    <w:rsid w:val="008B0842"/>
    <w:rsid w:val="00984ED8"/>
    <w:rsid w:val="00B002FB"/>
    <w:rsid w:val="00D24505"/>
    <w:rsid w:val="00D52F8B"/>
    <w:rsid w:val="00D92291"/>
    <w:rsid w:val="00DD4BAD"/>
    <w:rsid w:val="01C877F2"/>
    <w:rsid w:val="02F262FF"/>
    <w:rsid w:val="0ADA21E3"/>
    <w:rsid w:val="0CA25749"/>
    <w:rsid w:val="0CC90353"/>
    <w:rsid w:val="1A045F82"/>
    <w:rsid w:val="1A862C86"/>
    <w:rsid w:val="29EF2DD0"/>
    <w:rsid w:val="2B7029D3"/>
    <w:rsid w:val="2BFA4270"/>
    <w:rsid w:val="2FFF1BE6"/>
    <w:rsid w:val="35A73184"/>
    <w:rsid w:val="373FFD00"/>
    <w:rsid w:val="37FB3F71"/>
    <w:rsid w:val="3BFC62C4"/>
    <w:rsid w:val="3BFF0536"/>
    <w:rsid w:val="3D6F33F5"/>
    <w:rsid w:val="3DBF506A"/>
    <w:rsid w:val="3DFF8A2E"/>
    <w:rsid w:val="48A91567"/>
    <w:rsid w:val="4AEFE5BD"/>
    <w:rsid w:val="4B79470D"/>
    <w:rsid w:val="4FAF37EF"/>
    <w:rsid w:val="4FF64F05"/>
    <w:rsid w:val="50635672"/>
    <w:rsid w:val="515B54CC"/>
    <w:rsid w:val="51B3564E"/>
    <w:rsid w:val="52204B4E"/>
    <w:rsid w:val="5228012E"/>
    <w:rsid w:val="5825535F"/>
    <w:rsid w:val="59635EDD"/>
    <w:rsid w:val="5B7FC6A2"/>
    <w:rsid w:val="5E3040AC"/>
    <w:rsid w:val="5FB38C6B"/>
    <w:rsid w:val="5FD9B0F4"/>
    <w:rsid w:val="5FEBA94E"/>
    <w:rsid w:val="65F97816"/>
    <w:rsid w:val="67FF3E4F"/>
    <w:rsid w:val="68FDE35D"/>
    <w:rsid w:val="6AF989C2"/>
    <w:rsid w:val="6BAE47A9"/>
    <w:rsid w:val="6CFB855C"/>
    <w:rsid w:val="6D771FBF"/>
    <w:rsid w:val="6EE28F46"/>
    <w:rsid w:val="70C25163"/>
    <w:rsid w:val="73B6D9A5"/>
    <w:rsid w:val="75FF0D5A"/>
    <w:rsid w:val="77D9A937"/>
    <w:rsid w:val="77FFFA31"/>
    <w:rsid w:val="79B4E310"/>
    <w:rsid w:val="7AB6B40D"/>
    <w:rsid w:val="7BBF3DD9"/>
    <w:rsid w:val="7BFEF7B8"/>
    <w:rsid w:val="7CB792A9"/>
    <w:rsid w:val="7DDF429B"/>
    <w:rsid w:val="7ED778C0"/>
    <w:rsid w:val="7FA24CBC"/>
    <w:rsid w:val="7FDEBEB5"/>
    <w:rsid w:val="7FE5DE3D"/>
    <w:rsid w:val="7FE78192"/>
    <w:rsid w:val="7FEFF3C4"/>
    <w:rsid w:val="86F2D10D"/>
    <w:rsid w:val="9BFF366C"/>
    <w:rsid w:val="9FFC6CAD"/>
    <w:rsid w:val="A5C6DB58"/>
    <w:rsid w:val="AD2E9E72"/>
    <w:rsid w:val="AFDFBEE5"/>
    <w:rsid w:val="AFF5B674"/>
    <w:rsid w:val="B4FECF76"/>
    <w:rsid w:val="B5BF0131"/>
    <w:rsid w:val="B7C6373D"/>
    <w:rsid w:val="CA6F3595"/>
    <w:rsid w:val="CF6B70CE"/>
    <w:rsid w:val="D3C7C3C9"/>
    <w:rsid w:val="D66D183F"/>
    <w:rsid w:val="D73F332F"/>
    <w:rsid w:val="DCFFDED5"/>
    <w:rsid w:val="DDFF8573"/>
    <w:rsid w:val="DE970405"/>
    <w:rsid w:val="DFD7B163"/>
    <w:rsid w:val="E0EDAB9F"/>
    <w:rsid w:val="EF36D0A3"/>
    <w:rsid w:val="EFCF9A71"/>
    <w:rsid w:val="F3DE1236"/>
    <w:rsid w:val="F5FF0461"/>
    <w:rsid w:val="F6D7DE17"/>
    <w:rsid w:val="F6FF752B"/>
    <w:rsid w:val="FA776AAD"/>
    <w:rsid w:val="FB6FCD37"/>
    <w:rsid w:val="FDB9A4C0"/>
    <w:rsid w:val="FDCF72F1"/>
    <w:rsid w:val="FEB7E99B"/>
    <w:rsid w:val="FEFF8AF0"/>
    <w:rsid w:val="FFBF91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0"/>
    <w:qFormat/>
    <w:uiPriority w:val="0"/>
    <w:pPr>
      <w:keepNext/>
      <w:keepLines/>
      <w:spacing w:before="260" w:after="260" w:line="413" w:lineRule="auto"/>
      <w:outlineLvl w:val="2"/>
    </w:pPr>
    <w:rPr>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qFormat/>
    <w:uiPriority w:val="0"/>
    <w:pPr>
      <w:spacing w:before="0" w:after="140" w:line="276" w:lineRule="auto"/>
    </w:pPr>
  </w:style>
  <w:style w:type="paragraph" w:styleId="5">
    <w:name w:val="footer"/>
    <w:basedOn w:val="1"/>
    <w:link w:val="1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9">
    <w:name w:val="page number"/>
    <w:basedOn w:val="8"/>
    <w:qFormat/>
    <w:uiPriority w:val="0"/>
  </w:style>
  <w:style w:type="character" w:customStyle="1" w:styleId="10">
    <w:name w:val="标题 3 Char"/>
    <w:link w:val="3"/>
    <w:qFormat/>
    <w:uiPriority w:val="0"/>
    <w:rPr>
      <w:rFonts w:ascii="Times New Roman" w:hAnsi="Times New Roman" w:eastAsia="宋体" w:cs="Times New Roman"/>
      <w:b/>
      <w:bCs/>
      <w:sz w:val="32"/>
      <w:szCs w:val="32"/>
    </w:rPr>
  </w:style>
  <w:style w:type="character" w:customStyle="1" w:styleId="11">
    <w:name w:val="页脚 Char"/>
    <w:link w:val="5"/>
    <w:semiHidden/>
    <w:qFormat/>
    <w:uiPriority w:val="99"/>
    <w:rPr>
      <w:sz w:val="18"/>
      <w:szCs w:val="18"/>
    </w:rPr>
  </w:style>
  <w:style w:type="character" w:customStyle="1" w:styleId="12">
    <w:name w:val="页眉 Char"/>
    <w:link w:val="6"/>
    <w:semiHidden/>
    <w:qFormat/>
    <w:uiPriority w:val="99"/>
    <w:rPr>
      <w:sz w:val="18"/>
      <w:szCs w:val="18"/>
    </w:rPr>
  </w:style>
  <w:style w:type="paragraph" w:customStyle="1" w:styleId="13">
    <w:name w:val="TableOfAuthoring"/>
    <w:basedOn w:val="1"/>
    <w:next w:val="1"/>
    <w:qFormat/>
    <w:uiPriority w:val="0"/>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Words>
  <Characters>68</Characters>
  <Lines>1</Lines>
  <Paragraphs>1</Paragraphs>
  <TotalTime>22</TotalTime>
  <ScaleCrop>false</ScaleCrop>
  <LinksUpToDate>false</LinksUpToDate>
  <CharactersWithSpaces>78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2012-02-10T19:19:00Z</dcterms:created>
  <dc:creator>张寒霜</dc:creator>
  <cp:lastModifiedBy>user</cp:lastModifiedBy>
  <cp:lastPrinted>2025-01-06T15:20:30Z</cp:lastPrinted>
  <dcterms:modified xsi:type="dcterms:W3CDTF">2025-01-06T15:32:18Z</dcterms:modified>
  <dc:title>政 策 解 读</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CEE42401EA395312AC45726748A8FABE_42</vt:lpwstr>
  </property>
</Properties>
</file>