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A7D" w:rsidRDefault="00D21A7D" w:rsidP="00D21A7D">
      <w:pPr>
        <w:adjustRightInd w:val="0"/>
        <w:snapToGrid w:val="0"/>
        <w:spacing w:line="580" w:lineRule="exact"/>
        <w:jc w:val="left"/>
        <w:rPr>
          <w:rFonts w:ascii="仿宋_GB2312" w:eastAsia="仿宋_GB2312" w:hAnsi="仿宋_GB2312" w:cs="仿宋_GB2312" w:hint="eastAsia"/>
          <w:color w:val="0C0C0C"/>
          <w:sz w:val="32"/>
          <w:szCs w:val="32"/>
        </w:rPr>
      </w:pPr>
      <w:r>
        <w:rPr>
          <w:rFonts w:ascii="仿宋_GB2312" w:eastAsia="仿宋_GB2312" w:hAnsi="仿宋_GB2312" w:cs="仿宋_GB2312" w:hint="eastAsia"/>
          <w:color w:val="0C0C0C"/>
          <w:sz w:val="32"/>
          <w:szCs w:val="32"/>
        </w:rPr>
        <w:t>附件2：</w:t>
      </w:r>
    </w:p>
    <w:p w:rsidR="00D21A7D" w:rsidRDefault="00D21A7D" w:rsidP="00D21A7D">
      <w:pPr>
        <w:widowControl/>
        <w:spacing w:line="600" w:lineRule="exact"/>
        <w:jc w:val="center"/>
        <w:rPr>
          <w:rFonts w:ascii="方正小标宋简体" w:eastAsia="方正小标宋简体" w:hAnsi="方正小标宋简体" w:cs="方正小标宋简体" w:hint="eastAsia"/>
          <w:color w:val="000000"/>
          <w:kern w:val="0"/>
          <w:sz w:val="43"/>
          <w:szCs w:val="43"/>
          <w:lang w:bidi="ar"/>
        </w:rPr>
      </w:pPr>
      <w:r>
        <w:rPr>
          <w:rFonts w:ascii="方正小标宋简体" w:eastAsia="方正小标宋简体" w:hAnsi="方正小标宋简体" w:cs="方正小标宋简体" w:hint="eastAsia"/>
          <w:color w:val="000000"/>
          <w:kern w:val="0"/>
          <w:sz w:val="43"/>
          <w:szCs w:val="43"/>
          <w:lang w:bidi="ar"/>
        </w:rPr>
        <w:t>关于《国家税务总局重庆市税务局关于调整土地增值税核定征收率的公告（征求意见稿）》的解读</w:t>
      </w:r>
    </w:p>
    <w:p w:rsidR="00D21A7D" w:rsidRDefault="00D21A7D" w:rsidP="00D21A7D">
      <w:pPr>
        <w:spacing w:line="600" w:lineRule="exact"/>
        <w:ind w:firstLineChars="210" w:firstLine="630"/>
        <w:jc w:val="left"/>
        <w:rPr>
          <w:rFonts w:ascii="宋体" w:hAnsi="宋体" w:hint="eastAsia"/>
          <w:sz w:val="30"/>
          <w:szCs w:val="30"/>
        </w:rPr>
      </w:pPr>
    </w:p>
    <w:p w:rsidR="00D21A7D" w:rsidRDefault="00D21A7D" w:rsidP="00D21A7D">
      <w:pPr>
        <w:pStyle w:val="HTML"/>
        <w:widowControl/>
        <w:spacing w:line="600" w:lineRule="exact"/>
        <w:ind w:firstLine="640"/>
        <w:rPr>
          <w:rFonts w:ascii="仿宋_GB2312" w:eastAsia="仿宋_GB2312" w:cs="仿宋_GB2312"/>
          <w:color w:val="000000"/>
          <w:sz w:val="31"/>
          <w:szCs w:val="31"/>
        </w:rPr>
      </w:pPr>
      <w:r>
        <w:rPr>
          <w:rFonts w:ascii="仿宋_GB2312" w:eastAsia="仿宋_GB2312" w:cs="仿宋_GB2312"/>
          <w:color w:val="000000"/>
          <w:sz w:val="31"/>
          <w:szCs w:val="31"/>
        </w:rPr>
        <w:t>为更好发挥</w:t>
      </w:r>
      <w:r>
        <w:rPr>
          <w:rFonts w:ascii="仿宋_GB2312" w:eastAsia="仿宋_GB2312" w:hAnsi="仿宋_GB2312" w:cs="仿宋_GB2312"/>
          <w:snapToGrid w:val="0"/>
          <w:color w:val="000000"/>
          <w:sz w:val="32"/>
          <w:szCs w:val="32"/>
        </w:rPr>
        <w:t>土地增值税调节作用，</w:t>
      </w:r>
      <w:r>
        <w:rPr>
          <w:rFonts w:ascii="仿宋_GB2312" w:eastAsia="仿宋_GB2312" w:cs="仿宋_GB2312"/>
          <w:color w:val="000000"/>
          <w:sz w:val="31"/>
          <w:szCs w:val="31"/>
        </w:rPr>
        <w:t>促进房地产市场平稳健康发展，根据《中华人民共和国土地增值税暂行条例》及其实施细则、《国家税务总局关于房地产开发企业土地增值税清算管理有关问题的通知》（国税发〔2006〕187号）、《财政部 税务总局关于土地增值税若干问题的通知》（财税〔2006〕21号）、《国家税务总局关于加强土地增值税征管工作的通知》（国税发〔2010〕53号）等规定，下发了《国家税务总局重庆市税务局关于调整土地增值税核定征收率的公告》（以下简称公告）。为便于政策理解和执行，现对公告解读如下：</w:t>
      </w:r>
    </w:p>
    <w:p w:rsidR="00D21A7D" w:rsidRDefault="00D21A7D" w:rsidP="00D21A7D">
      <w:pPr>
        <w:pStyle w:val="HTML"/>
        <w:widowControl/>
        <w:numPr>
          <w:ilvl w:val="0"/>
          <w:numId w:val="1"/>
        </w:numPr>
        <w:spacing w:line="600" w:lineRule="exact"/>
        <w:ind w:firstLine="640"/>
        <w:outlineLvl w:val="0"/>
        <w:rPr>
          <w:rFonts w:ascii="黑体" w:eastAsia="黑体" w:hAnsi="黑体" w:cs="黑体"/>
          <w:color w:val="000000"/>
          <w:sz w:val="31"/>
          <w:szCs w:val="31"/>
        </w:rPr>
      </w:pPr>
      <w:r>
        <w:rPr>
          <w:rFonts w:ascii="黑体" w:eastAsia="黑体" w:hAnsi="黑体" w:cs="黑体"/>
          <w:color w:val="000000"/>
          <w:sz w:val="31"/>
          <w:szCs w:val="31"/>
        </w:rPr>
        <w:t>土地增值税核定征收率的相关含义</w:t>
      </w:r>
    </w:p>
    <w:p w:rsidR="00D21A7D" w:rsidRDefault="00D21A7D" w:rsidP="00D21A7D">
      <w:pPr>
        <w:pStyle w:val="HTML"/>
        <w:widowControl/>
        <w:spacing w:line="600" w:lineRule="exact"/>
        <w:ind w:firstLine="640"/>
        <w:rPr>
          <w:rFonts w:ascii="仿宋_GB2312" w:eastAsia="仿宋_GB2312" w:cs="仿宋_GB2312"/>
          <w:color w:val="000000"/>
          <w:sz w:val="31"/>
          <w:szCs w:val="31"/>
        </w:rPr>
      </w:pPr>
      <w:r>
        <w:rPr>
          <w:rFonts w:ascii="仿宋_GB2312" w:eastAsia="仿宋_GB2312" w:cs="仿宋_GB2312"/>
          <w:color w:val="000000"/>
          <w:sz w:val="31"/>
          <w:szCs w:val="31"/>
        </w:rPr>
        <w:t>公告将土地增值税核定征收率统一调整为5%，并将在建工程转让纳入核定征收率征收范围，即所有房产和在建工程转让中，土地增值税实行核定征收率征收的，适用公告规定的核定征收率标准。土地转让不适用核定征收率征收。</w:t>
      </w:r>
    </w:p>
    <w:p w:rsidR="00D21A7D" w:rsidRDefault="00D21A7D" w:rsidP="00D21A7D">
      <w:pPr>
        <w:pStyle w:val="HTML"/>
        <w:widowControl/>
        <w:spacing w:line="600" w:lineRule="exact"/>
        <w:ind w:firstLine="640"/>
        <w:rPr>
          <w:rFonts w:ascii="仿宋_GB2312" w:eastAsia="仿宋_GB2312" w:cs="仿宋_GB2312"/>
          <w:color w:val="000000"/>
          <w:sz w:val="31"/>
          <w:szCs w:val="31"/>
        </w:rPr>
      </w:pPr>
      <w:r>
        <w:rPr>
          <w:rFonts w:ascii="仿宋_GB2312" w:eastAsia="仿宋_GB2312" w:cs="仿宋_GB2312"/>
          <w:color w:val="000000"/>
          <w:sz w:val="31"/>
          <w:szCs w:val="31"/>
        </w:rPr>
        <w:t>公告所称“房产”包括房地产项目的增量房、单位和个人转让的存量房（旧房）等。</w:t>
      </w:r>
    </w:p>
    <w:p w:rsidR="00D21A7D" w:rsidRDefault="00D21A7D" w:rsidP="00D21A7D">
      <w:pPr>
        <w:pStyle w:val="HTML"/>
        <w:widowControl/>
        <w:spacing w:line="600" w:lineRule="exact"/>
        <w:ind w:firstLine="640"/>
        <w:rPr>
          <w:rFonts w:ascii="仿宋_GB2312" w:eastAsia="仿宋_GB2312" w:cs="仿宋_GB2312"/>
          <w:color w:val="000000"/>
          <w:sz w:val="31"/>
          <w:szCs w:val="31"/>
        </w:rPr>
      </w:pPr>
      <w:r>
        <w:rPr>
          <w:rFonts w:ascii="仿宋_GB2312" w:eastAsia="仿宋_GB2312" w:cs="仿宋_GB2312"/>
          <w:color w:val="000000"/>
          <w:sz w:val="31"/>
          <w:szCs w:val="31"/>
        </w:rPr>
        <w:lastRenderedPageBreak/>
        <w:t>公告所称“在建工程”指未竣工的在建项目，即已取得规划许可、施工许可等完备的开动工手续且进行了实质性建筑体施工建造（钢混、砖混等结构建筑体建造，不包括土地整治等生地变熟地的施工建造）且未竣工的在建项目。若房地产开发项目在建工程转让中，存在以建设用地规划许可或建设工程规划许可为范围，已全部竣工的（公共配套设施除外），应排除于在建工程范围（单独作为清算单位）。</w:t>
      </w:r>
    </w:p>
    <w:p w:rsidR="00D21A7D" w:rsidRDefault="00D21A7D" w:rsidP="00D21A7D">
      <w:pPr>
        <w:pStyle w:val="HTML"/>
        <w:widowControl/>
        <w:numPr>
          <w:ilvl w:val="0"/>
          <w:numId w:val="1"/>
        </w:numPr>
        <w:spacing w:line="600" w:lineRule="exact"/>
        <w:ind w:firstLine="640"/>
        <w:outlineLvl w:val="0"/>
        <w:rPr>
          <w:rFonts w:ascii="黑体" w:eastAsia="黑体" w:hAnsi="黑体" w:cs="黑体"/>
          <w:color w:val="000000"/>
          <w:sz w:val="31"/>
          <w:szCs w:val="31"/>
        </w:rPr>
      </w:pPr>
      <w:r>
        <w:rPr>
          <w:rFonts w:ascii="黑体" w:eastAsia="黑体" w:hAnsi="黑体" w:cs="黑体"/>
          <w:color w:val="000000"/>
          <w:sz w:val="31"/>
          <w:szCs w:val="31"/>
        </w:rPr>
        <w:t>土地增值税核定征收率的执行要求</w:t>
      </w:r>
    </w:p>
    <w:p w:rsidR="00D21A7D" w:rsidRDefault="00D21A7D" w:rsidP="00D21A7D">
      <w:pPr>
        <w:pStyle w:val="HTML"/>
        <w:widowControl/>
        <w:spacing w:line="600" w:lineRule="exact"/>
        <w:ind w:firstLine="640"/>
        <w:rPr>
          <w:rFonts w:ascii="仿宋_GB2312" w:eastAsia="仿宋_GB2312" w:cs="仿宋_GB2312"/>
          <w:color w:val="000000"/>
          <w:sz w:val="31"/>
          <w:szCs w:val="31"/>
        </w:rPr>
      </w:pPr>
      <w:r>
        <w:rPr>
          <w:rFonts w:ascii="仿宋_GB2312" w:eastAsia="仿宋_GB2312" w:cs="仿宋_GB2312"/>
          <w:color w:val="000000"/>
          <w:sz w:val="31"/>
          <w:szCs w:val="31"/>
        </w:rPr>
        <w:t>公告的执行以主管税务机关作出土地增值税核定征收认定并告知纳税人的时间（如房地产项目核定征收通知书下发时间）为判定标准，即2025年4月1日之前进行核定征收并告知纳税人的，按原规定执行；2025年4月1日之后进行核定征收并告知纳税人的，以及2025年4月1日之后转让清算后房产并实行核定征收的，按公告执行。</w:t>
      </w:r>
    </w:p>
    <w:p w:rsidR="00D21A7D" w:rsidRDefault="00D21A7D" w:rsidP="00D21A7D">
      <w:pPr>
        <w:pStyle w:val="HTML"/>
        <w:widowControl/>
        <w:numPr>
          <w:ilvl w:val="0"/>
          <w:numId w:val="1"/>
        </w:numPr>
        <w:spacing w:line="600" w:lineRule="exact"/>
        <w:ind w:firstLine="640"/>
        <w:outlineLvl w:val="0"/>
        <w:rPr>
          <w:rFonts w:ascii="黑体" w:eastAsia="黑体" w:hAnsi="黑体" w:cs="黑体"/>
          <w:color w:val="000000"/>
          <w:sz w:val="31"/>
          <w:szCs w:val="31"/>
        </w:rPr>
      </w:pPr>
      <w:r>
        <w:rPr>
          <w:rFonts w:ascii="黑体" w:eastAsia="黑体" w:hAnsi="黑体" w:cs="黑体"/>
          <w:color w:val="000000"/>
          <w:sz w:val="31"/>
          <w:szCs w:val="31"/>
        </w:rPr>
        <w:t>《公告》的施行时间</w:t>
      </w:r>
    </w:p>
    <w:p w:rsidR="00D21A7D" w:rsidRDefault="00D21A7D" w:rsidP="00D21A7D">
      <w:pPr>
        <w:pStyle w:val="HTML"/>
        <w:widowControl/>
        <w:spacing w:line="600" w:lineRule="exact"/>
        <w:ind w:firstLine="640"/>
        <w:rPr>
          <w:color w:val="0C0C0C"/>
        </w:rPr>
      </w:pPr>
      <w:r>
        <w:rPr>
          <w:rFonts w:ascii="仿宋_GB2312" w:eastAsia="仿宋_GB2312" w:cs="仿宋_GB2312"/>
          <w:color w:val="000000"/>
          <w:sz w:val="31"/>
          <w:szCs w:val="31"/>
        </w:rPr>
        <w:t>本公告自2025年4月1日起实施，《重庆市地方税务局关于土地增值税核定征收率的公告》（2014年第3号）同时废止。</w:t>
      </w:r>
    </w:p>
    <w:p w:rsidR="007603C5" w:rsidRPr="00D21A7D" w:rsidRDefault="007603C5">
      <w:bookmarkStart w:id="0" w:name="_GoBack"/>
      <w:bookmarkEnd w:id="0"/>
    </w:p>
    <w:sectPr w:rsidR="007603C5" w:rsidRPr="00D21A7D">
      <w:headerReference w:type="default" r:id="rId5"/>
      <w:footerReference w:type="default" r:id="rId6"/>
      <w:pgSz w:w="11906" w:h="16838"/>
      <w:pgMar w:top="2268" w:right="1417" w:bottom="1134" w:left="1417" w:header="0" w:footer="850" w:gutter="0"/>
      <w:pgNumType w:start="1"/>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1A7D">
    <w:pPr>
      <w:snapToGrid w:val="0"/>
      <w:jc w:val="right"/>
      <w:rPr>
        <w:rFonts w:hint="eastAsia"/>
        <w:sz w:val="24"/>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-34925</wp:posOffset>
              </wp:positionV>
              <wp:extent cx="993140" cy="1828800"/>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140" cy="1828800"/>
                      </a:xfrm>
                      <a:prstGeom prst="rect">
                        <a:avLst/>
                      </a:prstGeom>
                      <a:noFill/>
                      <a:ln w="15875">
                        <a:noFill/>
                        <a:miter/>
                      </a:ln>
                    </wps:spPr>
                    <wps:txbx>
                      <w:txbxContent>
                        <w:p w:rsidR="00000000" w:rsidRDefault="00D21A7D">
                          <w:pPr>
                            <w:snapToGrid w:val="0"/>
                            <w:jc w:val="center"/>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Pr="00D21A7D">
                            <w:rPr>
                              <w:rFonts w:ascii="宋体" w:hAnsi="宋体" w:cs="宋体"/>
                              <w:noProof/>
                              <w:sz w:val="28"/>
                              <w:szCs w:val="28"/>
                              <w:lang w:val="en-US" w:eastAsia="zh-CN"/>
                            </w:rPr>
                            <w:t>2</w:t>
                          </w:r>
                          <w:r>
                            <w:rPr>
                              <w:rFonts w:ascii="宋体" w:hAnsi="宋体" w:cs="宋体" w:hint="eastAsia"/>
                              <w:sz w:val="28"/>
                              <w:szCs w:val="28"/>
                            </w:rPr>
                            <w:fldChar w:fldCharType="end"/>
                          </w:r>
                          <w:r>
                            <w:rPr>
                              <w:rFonts w:ascii="宋体" w:hAnsi="宋体" w:cs="宋体" w:hint="eastAsia"/>
                              <w:sz w:val="28"/>
                              <w:szCs w:val="28"/>
                            </w:rPr>
                            <w:t>—</w:t>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7pt;margin-top:-2.75pt;width:78.2pt;height:2in;z-index:251659264;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" filled="f" stroked="f" strokeweight="1.25pt">
              <v:path arrowok="t"/>
              <v:textbox style="mso-fit-shape-to-text:t" inset="0,0,0,0">
                <w:txbxContent>
                  <w:p w:rsidR="00000000" w:rsidRDefault="00D21A7D">
                    <w:pPr>
                      <w:snapToGrid w:val="0"/>
                      <w:jc w:val="center"/>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Pr="00D21A7D">
                      <w:rPr>
                        <w:rFonts w:ascii="宋体" w:hAnsi="宋体" w:cs="宋体"/>
                        <w:noProof/>
                        <w:sz w:val="28"/>
                        <w:szCs w:val="28"/>
                        <w:lang w:val="en-US" w:eastAsia="zh-CN"/>
                      </w:rPr>
                      <w:t>2</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21A7D">
    <w:pPr>
      <w:pStyle w:val="a4"/>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FA3EC5"/>
    <w:multiLevelType w:val="singleLevel"/>
    <w:tmpl w:val="EBFA3EC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7D"/>
    <w:rsid w:val="007603C5"/>
    <w:rsid w:val="00D2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6190F7D-AD58-4929-A437-2222662C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21A7D"/>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21A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D21A7D"/>
    <w:rPr>
      <w:rFonts w:ascii="Times New Roman" w:eastAsia="宋体" w:hAnsi="Times New Roman" w:cs="Times New Roman"/>
      <w:sz w:val="18"/>
      <w:szCs w:val="18"/>
    </w:rPr>
  </w:style>
  <w:style w:type="paragraph" w:styleId="HTML">
    <w:name w:val="HTML Preformatted"/>
    <w:basedOn w:val="a"/>
    <w:link w:val="HTMLChar"/>
    <w:qFormat/>
    <w:rsid w:val="00D21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1"/>
    <w:link w:val="HTML"/>
    <w:rsid w:val="00D21A7D"/>
    <w:rPr>
      <w:rFonts w:ascii="宋体" w:eastAsia="宋体" w:hAnsi="宋体" w:cs="Times New Roman"/>
      <w:kern w:val="0"/>
      <w:sz w:val="24"/>
      <w:szCs w:val="24"/>
    </w:rPr>
  </w:style>
  <w:style w:type="paragraph" w:styleId="a0">
    <w:name w:val="Body Text"/>
    <w:basedOn w:val="a"/>
    <w:link w:val="Char0"/>
    <w:uiPriority w:val="99"/>
    <w:semiHidden/>
    <w:unhideWhenUsed/>
    <w:rsid w:val="00D21A7D"/>
    <w:pPr>
      <w:spacing w:after="120"/>
    </w:pPr>
  </w:style>
  <w:style w:type="character" w:customStyle="1" w:styleId="Char0">
    <w:name w:val="正文文本 Char"/>
    <w:basedOn w:val="a1"/>
    <w:link w:val="a0"/>
    <w:uiPriority w:val="99"/>
    <w:semiHidden/>
    <w:rsid w:val="00D21A7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742</Characters>
  <Application>Microsoft Office Word</Application>
  <DocSecurity>0</DocSecurity>
  <Lines>6</Lines>
  <Paragraphs>1</Paragraphs>
  <ScaleCrop>false</ScaleCrop>
  <Company>Microsoft</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2025-01-14T08:56:00Z</dcterms:created>
  <dcterms:modified xsi:type="dcterms:W3CDTF">2025-01-14T08:56:00Z</dcterms:modified>
</cp:coreProperties>
</file>