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" w:line="227" w:lineRule="auto"/>
        <w:ind w:left="55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pStyle w:val="2"/>
        <w:spacing w:before="257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  <w:t>会计人员继续教育专业科目重点学习内容</w:t>
      </w:r>
    </w:p>
    <w:p>
      <w:pPr>
        <w:spacing w:line="107" w:lineRule="exact"/>
      </w:pPr>
    </w:p>
    <w:tbl>
      <w:tblPr>
        <w:tblStyle w:val="6"/>
        <w:tblW w:w="15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40"/>
        <w:gridCol w:w="507"/>
        <w:gridCol w:w="2199"/>
        <w:gridCol w:w="3454"/>
        <w:gridCol w:w="70"/>
        <w:gridCol w:w="3554"/>
        <w:gridCol w:w="3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89" w:type="dxa"/>
            <w:gridSpan w:val="4"/>
            <w:shd w:val="clear" w:color="auto" w:fill="D7D7D7"/>
            <w:vAlign w:val="top"/>
          </w:tcPr>
          <w:p>
            <w:pPr>
              <w:pStyle w:val="7"/>
              <w:spacing w:before="115" w:line="217" w:lineRule="auto"/>
              <w:ind w:left="19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专业科目</w:t>
            </w:r>
          </w:p>
        </w:tc>
        <w:tc>
          <w:tcPr>
            <w:tcW w:w="3524" w:type="dxa"/>
            <w:gridSpan w:val="2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6" w:lineRule="auto"/>
              <w:ind w:left="10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初级学习内容</w:t>
            </w:r>
          </w:p>
        </w:tc>
        <w:tc>
          <w:tcPr>
            <w:tcW w:w="355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0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中级学习内容</w:t>
            </w:r>
          </w:p>
        </w:tc>
        <w:tc>
          <w:tcPr>
            <w:tcW w:w="3289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9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高级学习内容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shd w:val="clear" w:color="auto" w:fill="D7D7D7"/>
            <w:vAlign w:val="top"/>
          </w:tcPr>
          <w:p>
            <w:pPr>
              <w:pStyle w:val="7"/>
              <w:spacing w:before="192" w:line="213" w:lineRule="auto"/>
              <w:ind w:left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4"/>
              </w:rPr>
              <w:t>类型</w:t>
            </w:r>
          </w:p>
        </w:tc>
        <w:tc>
          <w:tcPr>
            <w:tcW w:w="1340" w:type="dxa"/>
            <w:shd w:val="clear" w:color="auto" w:fill="D7D7D7"/>
            <w:vAlign w:val="top"/>
          </w:tcPr>
          <w:p>
            <w:pPr>
              <w:pStyle w:val="7"/>
              <w:spacing w:before="192" w:line="217" w:lineRule="auto"/>
              <w:ind w:left="4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科目</w:t>
            </w:r>
          </w:p>
        </w:tc>
        <w:tc>
          <w:tcPr>
            <w:tcW w:w="507" w:type="dxa"/>
            <w:shd w:val="clear" w:color="auto" w:fill="D7D7D7"/>
            <w:textDirection w:val="tbRlV"/>
            <w:vAlign w:val="top"/>
          </w:tcPr>
          <w:p>
            <w:pPr>
              <w:pStyle w:val="7"/>
              <w:spacing w:before="132" w:line="206" w:lineRule="auto"/>
              <w:ind w:left="3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序</w:t>
            </w:r>
            <w:r>
              <w:rPr>
                <w:rFonts w:hint="default" w:ascii="Times New Roman" w:hAnsi="Times New Roman" w:cs="Times New Roman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号</w:t>
            </w:r>
          </w:p>
        </w:tc>
        <w:tc>
          <w:tcPr>
            <w:tcW w:w="2199" w:type="dxa"/>
            <w:shd w:val="clear" w:color="auto" w:fill="D7D7D7"/>
            <w:vAlign w:val="top"/>
          </w:tcPr>
          <w:p>
            <w:pPr>
              <w:pStyle w:val="7"/>
              <w:spacing w:before="192" w:line="217" w:lineRule="auto"/>
              <w:ind w:left="7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子科目</w:t>
            </w:r>
          </w:p>
        </w:tc>
        <w:tc>
          <w:tcPr>
            <w:tcW w:w="352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1" w:lineRule="auto"/>
              <w:ind w:left="141" w:right="128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1"/>
              </w:rPr>
              <w:t>专业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通识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知识</w:t>
            </w:r>
          </w:p>
        </w:tc>
        <w:tc>
          <w:tcPr>
            <w:tcW w:w="1340" w:type="dxa"/>
            <w:vAlign w:val="top"/>
          </w:tcPr>
          <w:p>
            <w:pPr>
              <w:pStyle w:val="7"/>
              <w:spacing w:before="73" w:line="228" w:lineRule="auto"/>
              <w:ind w:left="437" w:right="186" w:hanging="23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会计职业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道德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59" w:line="188" w:lineRule="auto"/>
              <w:ind w:left="2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72" w:line="227" w:lineRule="auto"/>
              <w:ind w:left="107" w:right="104" w:firstLine="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会计职业道德与诚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信体系建设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72" w:line="227" w:lineRule="auto"/>
              <w:ind w:left="119" w:right="108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商业伦理与会计职业道德、信用建设与会计诚信，严重会计失信行为、财务造假与会计舞弊典型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案例分析等。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7"/>
              <w:spacing w:before="242" w:line="216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会计法治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72" w:line="188" w:lineRule="auto"/>
              <w:ind w:left="2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42" w:line="216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会计法律法规制度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85" w:line="226" w:lineRule="auto"/>
              <w:ind w:left="118" w:right="108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会计法、注册会计师法、总会计师条例、企业财务会计报告条例等会计法律法规，有关会计基础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工作、会计人员管理、会计服务市场监管、财会监督等部门规章、制度文件。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8" w:lineRule="auto"/>
              <w:ind w:left="327" w:right="186" w:hanging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会计改革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</w:rPr>
              <w:t>与发展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88" w:line="188" w:lineRule="auto"/>
              <w:ind w:left="2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101" w:line="226" w:lineRule="auto"/>
              <w:ind w:left="119" w:right="104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新时代我国会计改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革与发展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101" w:line="226" w:lineRule="auto"/>
              <w:ind w:left="123" w:right="105" w:hanging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会计改革与发展“十四五”规划纲要及系列解读，会计信息化发展规划（2021-2025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年）、会计行</w:t>
            </w:r>
            <w:r>
              <w:rPr>
                <w:rFonts w:hint="default" w:ascii="Times New Roman" w:hAnsi="Times New Roman" w:cs="Times New Roman"/>
              </w:rPr>
              <w:t xml:space="preserve"> 业人才发展规划（2021-2025）、注册会</w:t>
            </w:r>
            <w:r>
              <w:rPr>
                <w:rFonts w:hint="default" w:ascii="Times New Roman" w:hAnsi="Times New Roman" w:cs="Times New Roman"/>
                <w:spacing w:val="-1"/>
              </w:rPr>
              <w:t>计师行业发展规划（2021-2025）等。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225" w:line="188" w:lineRule="auto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39" w:line="222" w:lineRule="auto"/>
              <w:ind w:left="119" w:right="104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新中国会计发展沿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革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194" w:line="21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会计史，我国会计准则制度演进与经验启示等。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1" w:lineRule="auto"/>
              <w:ind w:left="138" w:right="128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1"/>
              </w:rPr>
              <w:t>专业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核心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知识</w:t>
            </w: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7" w:lineRule="auto"/>
              <w:ind w:left="438" w:right="186" w:hanging="2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企业财务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</w:rPr>
              <w:t>会计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5" w:lineRule="auto"/>
              <w:ind w:left="2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5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企业会计准则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135" w:line="21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我国企业会计准则体系概况，当年新制定修订或实施的企业会计准则。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7"/>
              <w:spacing w:before="135" w:line="231" w:lineRule="auto"/>
              <w:ind w:left="113" w:right="104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企业会计准则基本准则，企业常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见业务的会计处理；企业产品成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本核算。</w:t>
            </w:r>
          </w:p>
        </w:tc>
        <w:tc>
          <w:tcPr>
            <w:tcW w:w="3554" w:type="dxa"/>
            <w:vAlign w:val="top"/>
          </w:tcPr>
          <w:p>
            <w:pPr>
              <w:pStyle w:val="7"/>
              <w:spacing w:before="293" w:line="227" w:lineRule="auto"/>
              <w:ind w:left="111" w:right="104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企业会计准则具体准则、准则解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释及会计处理规定的应用。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138" w:line="231" w:lineRule="auto"/>
              <w:ind w:left="127" w:right="107" w:hanging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具体企业会计政策的分析、判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断及企业会计准则具体准则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的综合运用。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194" w:line="188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163" w:line="215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小企业会计准则</w:t>
            </w:r>
          </w:p>
        </w:tc>
        <w:tc>
          <w:tcPr>
            <w:tcW w:w="7078" w:type="dxa"/>
            <w:gridSpan w:val="3"/>
            <w:vAlign w:val="top"/>
          </w:tcPr>
          <w:p>
            <w:pPr>
              <w:pStyle w:val="7"/>
              <w:spacing w:before="163" w:line="214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小企业常见业务的会计处理。</w:t>
            </w:r>
          </w:p>
        </w:tc>
        <w:tc>
          <w:tcPr>
            <w:tcW w:w="328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政府及非</w:t>
            </w:r>
          </w:p>
          <w:p>
            <w:pPr>
              <w:pStyle w:val="7"/>
              <w:spacing w:before="34" w:line="21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营利组织</w:t>
            </w:r>
          </w:p>
          <w:p>
            <w:pPr>
              <w:pStyle w:val="7"/>
              <w:spacing w:before="26" w:line="216" w:lineRule="auto"/>
              <w:ind w:left="43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</w:rPr>
              <w:t>会计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5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政府会计准则制度</w:t>
            </w:r>
          </w:p>
        </w:tc>
        <w:tc>
          <w:tcPr>
            <w:tcW w:w="10367" w:type="dxa"/>
            <w:gridSpan w:val="4"/>
            <w:vAlign w:val="top"/>
          </w:tcPr>
          <w:p>
            <w:pPr>
              <w:pStyle w:val="7"/>
              <w:spacing w:before="161" w:line="21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我国政府会计准则制度体系概况，当年新制定修订或实施的政府会计准则制度。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54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4" w:lineRule="auto"/>
              <w:ind w:left="116" w:right="104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政府会计准则基本准则，行政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8"/>
              </w:rPr>
              <w:t>事业单位常见业务的会计处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理；事业单位成本核算基本指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引。</w:t>
            </w:r>
          </w:p>
        </w:tc>
        <w:tc>
          <w:tcPr>
            <w:tcW w:w="3624" w:type="dxa"/>
            <w:gridSpan w:val="2"/>
            <w:vAlign w:val="top"/>
          </w:tcPr>
          <w:p>
            <w:pPr>
              <w:pStyle w:val="7"/>
              <w:spacing w:before="43" w:line="230" w:lineRule="auto"/>
              <w:ind w:left="118" w:right="102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政府会计准则具体准则、政府会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计制度、准则制度解释及会计处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</w:rPr>
              <w:t>理规定的应用，事业单位成本核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算具体指引。</w:t>
            </w:r>
          </w:p>
        </w:tc>
        <w:tc>
          <w:tcPr>
            <w:tcW w:w="3289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8" w:lineRule="auto"/>
              <w:ind w:left="115" w:right="107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政府会计准则制度的综合运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913" w:type="dxa"/>
            <w:gridSpan w:val="3"/>
            <w:vAlign w:val="top"/>
          </w:tcPr>
          <w:p>
            <w:pPr>
              <w:pStyle w:val="7"/>
              <w:spacing w:before="138" w:line="229" w:lineRule="auto"/>
              <w:ind w:left="115" w:right="107" w:firstLine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政府综合财务报告编制、部门预决算编制、行政事业单位预算执</w:t>
            </w:r>
            <w:r>
              <w:rPr>
                <w:rFonts w:hint="default" w:ascii="Times New Roman" w:hAnsi="Times New Roman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行分析。</w:t>
            </w:r>
          </w:p>
        </w:tc>
      </w:tr>
    </w:tbl>
    <w:p>
      <w:pPr>
        <w:spacing w:line="58" w:lineRule="exact"/>
        <w:rPr>
          <w:rFonts w:ascii="Arial"/>
          <w:sz w:val="5"/>
        </w:rPr>
      </w:pPr>
    </w:p>
    <w:p>
      <w:pPr>
        <w:spacing w:line="58" w:lineRule="exact"/>
        <w:rPr>
          <w:rFonts w:ascii="Arial" w:hAnsi="Arial" w:eastAsia="Arial" w:cs="Arial"/>
          <w:sz w:val="5"/>
          <w:szCs w:val="5"/>
        </w:rPr>
        <w:sectPr>
          <w:footerReference r:id="rId5" w:type="default"/>
          <w:pgSz w:w="16839" w:h="11906" w:orient="landscape"/>
          <w:pgMar w:top="720" w:right="720" w:bottom="720" w:left="720" w:header="0" w:footer="725" w:gutter="0"/>
          <w:cols w:space="720" w:num="1"/>
        </w:sectPr>
      </w:pPr>
    </w:p>
    <w:p>
      <w:pPr>
        <w:spacing w:line="156" w:lineRule="exact"/>
      </w:pPr>
    </w:p>
    <w:tbl>
      <w:tblPr>
        <w:tblStyle w:val="6"/>
        <w:tblW w:w="15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40"/>
        <w:gridCol w:w="507"/>
        <w:gridCol w:w="2199"/>
        <w:gridCol w:w="3524"/>
        <w:gridCol w:w="3554"/>
        <w:gridCol w:w="3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89" w:type="dxa"/>
            <w:gridSpan w:val="4"/>
            <w:shd w:val="clear" w:color="auto" w:fill="D7D7D7"/>
            <w:vAlign w:val="top"/>
          </w:tcPr>
          <w:p>
            <w:pPr>
              <w:pStyle w:val="7"/>
              <w:spacing w:before="114" w:line="217" w:lineRule="auto"/>
              <w:ind w:left="19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专业科目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6" w:lineRule="auto"/>
              <w:ind w:left="10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初级学习内容</w:t>
            </w:r>
          </w:p>
        </w:tc>
        <w:tc>
          <w:tcPr>
            <w:tcW w:w="355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0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中级学习内容</w:t>
            </w:r>
          </w:p>
        </w:tc>
        <w:tc>
          <w:tcPr>
            <w:tcW w:w="3289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9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高级学习内容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shd w:val="clear" w:color="auto" w:fill="D7D7D7"/>
            <w:vAlign w:val="top"/>
          </w:tcPr>
          <w:p>
            <w:pPr>
              <w:pStyle w:val="7"/>
              <w:spacing w:before="193" w:line="213" w:lineRule="auto"/>
              <w:ind w:left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4"/>
              </w:rPr>
              <w:t>类型</w:t>
            </w:r>
          </w:p>
        </w:tc>
        <w:tc>
          <w:tcPr>
            <w:tcW w:w="1340" w:type="dxa"/>
            <w:shd w:val="clear" w:color="auto" w:fill="D7D7D7"/>
            <w:vAlign w:val="top"/>
          </w:tcPr>
          <w:p>
            <w:pPr>
              <w:pStyle w:val="7"/>
              <w:spacing w:before="193" w:line="217" w:lineRule="auto"/>
              <w:ind w:left="4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科目</w:t>
            </w:r>
          </w:p>
        </w:tc>
        <w:tc>
          <w:tcPr>
            <w:tcW w:w="507" w:type="dxa"/>
            <w:shd w:val="clear" w:color="auto" w:fill="D7D7D7"/>
            <w:textDirection w:val="tbRlV"/>
            <w:vAlign w:val="top"/>
          </w:tcPr>
          <w:p>
            <w:pPr>
              <w:pStyle w:val="7"/>
              <w:spacing w:before="132" w:line="206" w:lineRule="auto"/>
              <w:ind w:left="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序</w:t>
            </w:r>
            <w:r>
              <w:rPr>
                <w:rFonts w:hint="default" w:ascii="Times New Roman" w:hAnsi="Times New Roman" w:cs="Times New Roman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号</w:t>
            </w:r>
          </w:p>
        </w:tc>
        <w:tc>
          <w:tcPr>
            <w:tcW w:w="2199" w:type="dxa"/>
            <w:shd w:val="clear" w:color="auto" w:fill="D7D7D7"/>
            <w:vAlign w:val="top"/>
          </w:tcPr>
          <w:p>
            <w:pPr>
              <w:pStyle w:val="7"/>
              <w:spacing w:before="193" w:line="217" w:lineRule="auto"/>
              <w:ind w:left="7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子科目</w:t>
            </w:r>
          </w:p>
        </w:tc>
        <w:tc>
          <w:tcPr>
            <w:tcW w:w="3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1" w:lineRule="auto"/>
              <w:ind w:left="138" w:right="128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1"/>
              </w:rPr>
              <w:t>专业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核心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知识</w:t>
            </w:r>
          </w:p>
        </w:tc>
        <w:tc>
          <w:tcPr>
            <w:tcW w:w="134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287" w:line="188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104" w:line="225" w:lineRule="auto"/>
              <w:ind w:left="126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非营利组织及基金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类会计制度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56" w:line="214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民间非营利组织的会计核算、工会的会计核算、社会保险基金等基金（资金）的会</w:t>
            </w:r>
            <w:r>
              <w:rPr>
                <w:rFonts w:hint="default" w:ascii="Times New Roman" w:hAnsi="Times New Roman" w:cs="Times New Roman"/>
                <w:spacing w:val="-2"/>
              </w:rPr>
              <w:t>计核算。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7"/>
              <w:spacing w:before="221" w:line="214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农村会计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52" w:line="188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21" w:line="214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农村会计制度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21" w:line="214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农民专业合作社的会计核算、农村集体经济组织的会计核算。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管理会计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10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9" w:lineRule="auto"/>
              <w:ind w:left="114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管理会计理论与应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用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10" w:line="21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我国管理会计体系概况，业财融合实践，当年新制定修订或实施的管理会计指引。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24" w:type="dxa"/>
            <w:vAlign w:val="top"/>
          </w:tcPr>
          <w:p>
            <w:pPr>
              <w:pStyle w:val="7"/>
              <w:spacing w:before="188" w:line="226" w:lineRule="auto"/>
              <w:ind w:left="135" w:right="104" w:hanging="2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管理会计基本指引，管理会计指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引体系概况。</w:t>
            </w:r>
          </w:p>
        </w:tc>
        <w:tc>
          <w:tcPr>
            <w:tcW w:w="3554" w:type="dxa"/>
            <w:vAlign w:val="top"/>
          </w:tcPr>
          <w:p>
            <w:pPr>
              <w:pStyle w:val="7"/>
              <w:spacing w:before="189" w:line="226" w:lineRule="auto"/>
              <w:ind w:left="125" w:right="104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管理会计应用指引，管理会计典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型案例分析。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189" w:line="227" w:lineRule="auto"/>
              <w:ind w:left="116" w:righ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管理会计工具与方法的综合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运用。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6" w:lineRule="auto"/>
              <w:ind w:left="2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3"/>
              </w:rPr>
              <w:t>内部控制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11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9" w:lineRule="auto"/>
              <w:ind w:left="114" w:right="104" w:firstLine="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内部控制理论与应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用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22" w:line="21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我国内部控制体系概况，当年新制定修订或实施的内部控制有关制度。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24" w:type="dxa"/>
            <w:vAlign w:val="top"/>
          </w:tcPr>
          <w:p>
            <w:pPr>
              <w:pStyle w:val="7"/>
              <w:spacing w:before="130" w:line="232" w:lineRule="auto"/>
              <w:ind w:left="113" w:right="104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企业内部控制基本规范，小企业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内部控制规范；行政事业单位内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部控制基础知识。</w:t>
            </w:r>
          </w:p>
        </w:tc>
        <w:tc>
          <w:tcPr>
            <w:tcW w:w="3554" w:type="dxa"/>
            <w:vAlign w:val="top"/>
          </w:tcPr>
          <w:p>
            <w:pPr>
              <w:pStyle w:val="7"/>
              <w:spacing w:before="132" w:line="231" w:lineRule="auto"/>
              <w:ind w:left="128" w:right="104" w:hanging="1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企业内部控制应用指引、评价指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引；行政事业单位内部控制规范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与报告管理制度。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132" w:line="232" w:lineRule="auto"/>
              <w:ind w:left="110" w:right="107" w:firstLine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企业、行政事业单位内部控制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体系建设</w:t>
            </w:r>
            <w:r>
              <w:rPr>
                <w:rFonts w:hint="default" w:ascii="Times New Roman" w:hAnsi="Times New Roman" w:cs="Times New Roman"/>
                <w:spacing w:val="-6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，</w:t>
            </w:r>
            <w:r>
              <w:rPr>
                <w:rFonts w:hint="default" w:ascii="Times New Roman" w:hAnsi="Times New Roman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内部控制应用指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引、评价指引的综合应用。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财务管理</w:t>
            </w:r>
          </w:p>
        </w:tc>
        <w:tc>
          <w:tcPr>
            <w:tcW w:w="507" w:type="dxa"/>
            <w:vAlign w:val="top"/>
          </w:tcPr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12</w:t>
            </w:r>
          </w:p>
        </w:tc>
        <w:tc>
          <w:tcPr>
            <w:tcW w:w="2199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8" w:lineRule="auto"/>
              <w:ind w:left="114" w:right="104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财务管理理论与应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用</w:t>
            </w:r>
          </w:p>
        </w:tc>
        <w:tc>
          <w:tcPr>
            <w:tcW w:w="3524" w:type="dxa"/>
            <w:vAlign w:val="top"/>
          </w:tcPr>
          <w:p>
            <w:pPr>
              <w:pStyle w:val="7"/>
              <w:spacing w:before="258" w:line="231" w:lineRule="auto"/>
              <w:ind w:left="114" w:right="10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企业财务管理基础知识，行政事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业单位财务制度和资产管理基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础知识。</w:t>
            </w:r>
          </w:p>
        </w:tc>
        <w:tc>
          <w:tcPr>
            <w:tcW w:w="3554" w:type="dxa"/>
            <w:vAlign w:val="top"/>
          </w:tcPr>
          <w:p>
            <w:pPr>
              <w:pStyle w:val="7"/>
              <w:spacing w:before="101" w:line="233" w:lineRule="auto"/>
              <w:ind w:left="116" w:right="10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企业筹资管理、投资管理、营运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资金管理、财务报表分析等实践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运用；行政事业单位财务制度和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资产管理制度。</w:t>
            </w:r>
          </w:p>
        </w:tc>
        <w:tc>
          <w:tcPr>
            <w:tcW w:w="3289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6" w:lineRule="auto"/>
              <w:ind w:left="125" w:right="107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财务管理知识在企业、行政事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业单位的综合应用。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税收实务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13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7" w:lineRule="auto"/>
              <w:ind w:left="127" w:right="104" w:hanging="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税收法律法规制度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与实务应用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01" w:line="214" w:lineRule="auto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我国税收法律体系概况，当年新制定修订或实施的税收法律法规制度。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24" w:type="dxa"/>
            <w:vAlign w:val="top"/>
          </w:tcPr>
          <w:p>
            <w:pPr>
              <w:spacing w:line="4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1" w:lineRule="auto"/>
              <w:ind w:left="116" w:right="104" w:firstLine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主要税种基本知识，税收征收管</w:t>
            </w:r>
            <w:r>
              <w:rPr>
                <w:rFonts w:hint="default" w:ascii="Times New Roman" w:hAnsi="Times New Roman" w:cs="Times New Roman"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理。</w:t>
            </w:r>
          </w:p>
        </w:tc>
        <w:tc>
          <w:tcPr>
            <w:tcW w:w="3554" w:type="dxa"/>
            <w:vAlign w:val="top"/>
          </w:tcPr>
          <w:p>
            <w:pPr>
              <w:spacing w:line="4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6" w:lineRule="auto"/>
              <w:ind w:left="143" w:right="104" w:hanging="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流转税、所得税等税种重点难点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问题，税务与会计相关问题。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40" w:line="233" w:lineRule="auto"/>
              <w:ind w:left="112" w:right="107" w:firstLine="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税收知识在企业、行政事业单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5"/>
              </w:rPr>
              <w:t>位的综合运用及税收规划与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管理；国际税收法律法规及征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管实践；税务违法失信典型案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例分析。</w:t>
            </w:r>
          </w:p>
        </w:tc>
      </w:tr>
    </w:tbl>
    <w:p>
      <w:pPr>
        <w:spacing w:line="237" w:lineRule="exact"/>
        <w:rPr>
          <w:rFonts w:ascii="Arial"/>
          <w:sz w:val="20"/>
        </w:rPr>
      </w:pPr>
    </w:p>
    <w:p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6839" w:h="11906"/>
          <w:pgMar w:top="1012" w:right="846" w:bottom="899" w:left="830" w:header="0" w:footer="725" w:gutter="0"/>
          <w:cols w:space="720" w:num="1"/>
        </w:sectPr>
      </w:pPr>
    </w:p>
    <w:p>
      <w:pPr>
        <w:spacing w:line="156" w:lineRule="exact"/>
      </w:pPr>
    </w:p>
    <w:tbl>
      <w:tblPr>
        <w:tblStyle w:val="6"/>
        <w:tblW w:w="15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40"/>
        <w:gridCol w:w="507"/>
        <w:gridCol w:w="2199"/>
        <w:gridCol w:w="3524"/>
        <w:gridCol w:w="3554"/>
        <w:gridCol w:w="3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789" w:type="dxa"/>
            <w:gridSpan w:val="4"/>
            <w:shd w:val="clear" w:color="auto" w:fill="D7D7D7"/>
            <w:vAlign w:val="top"/>
          </w:tcPr>
          <w:p>
            <w:pPr>
              <w:pStyle w:val="7"/>
              <w:spacing w:before="174" w:line="217" w:lineRule="auto"/>
              <w:ind w:left="19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专业科目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41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6" w:lineRule="auto"/>
              <w:ind w:left="10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初级学习内容</w:t>
            </w:r>
          </w:p>
        </w:tc>
        <w:tc>
          <w:tcPr>
            <w:tcW w:w="355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41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0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中级学习内容</w:t>
            </w:r>
          </w:p>
        </w:tc>
        <w:tc>
          <w:tcPr>
            <w:tcW w:w="3289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>
            <w:pPr>
              <w:spacing w:line="41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9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高级学习内容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shd w:val="clear" w:color="auto" w:fill="D7D7D7"/>
            <w:vAlign w:val="top"/>
          </w:tcPr>
          <w:p>
            <w:pPr>
              <w:pStyle w:val="7"/>
              <w:spacing w:before="191" w:line="213" w:lineRule="auto"/>
              <w:ind w:left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4"/>
              </w:rPr>
              <w:t>类型</w:t>
            </w:r>
          </w:p>
        </w:tc>
        <w:tc>
          <w:tcPr>
            <w:tcW w:w="1340" w:type="dxa"/>
            <w:shd w:val="clear" w:color="auto" w:fill="D7D7D7"/>
            <w:vAlign w:val="top"/>
          </w:tcPr>
          <w:p>
            <w:pPr>
              <w:pStyle w:val="7"/>
              <w:spacing w:before="192" w:line="217" w:lineRule="auto"/>
              <w:ind w:left="4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科目</w:t>
            </w:r>
          </w:p>
        </w:tc>
        <w:tc>
          <w:tcPr>
            <w:tcW w:w="507" w:type="dxa"/>
            <w:shd w:val="clear" w:color="auto" w:fill="D7D7D7"/>
            <w:textDirection w:val="tbRlV"/>
            <w:vAlign w:val="top"/>
          </w:tcPr>
          <w:p>
            <w:pPr>
              <w:pStyle w:val="7"/>
              <w:spacing w:before="132" w:line="206" w:lineRule="auto"/>
              <w:ind w:left="3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2"/>
              </w:rPr>
              <w:t>序号</w:t>
            </w:r>
          </w:p>
        </w:tc>
        <w:tc>
          <w:tcPr>
            <w:tcW w:w="2199" w:type="dxa"/>
            <w:shd w:val="clear" w:color="auto" w:fill="D7D7D7"/>
            <w:vAlign w:val="top"/>
          </w:tcPr>
          <w:p>
            <w:pPr>
              <w:pStyle w:val="7"/>
              <w:spacing w:before="192" w:line="217" w:lineRule="auto"/>
              <w:ind w:left="7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子科目</w:t>
            </w:r>
          </w:p>
        </w:tc>
        <w:tc>
          <w:tcPr>
            <w:tcW w:w="3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2" w:line="232" w:lineRule="auto"/>
              <w:ind w:left="138" w:right="128" w:firstLine="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1"/>
              </w:rPr>
              <w:t>专业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核心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7"/>
              </w:rPr>
              <w:t>知识</w:t>
            </w: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8" w:lineRule="auto"/>
              <w:ind w:left="307" w:right="306" w:firstLine="1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</w:rPr>
              <w:t>会计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信息化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59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14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28" w:line="215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会计数据标准应用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28" w:line="21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会计数据标准介绍及在企业、行政事业单位中的应用。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284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15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96" w:line="227" w:lineRule="auto"/>
              <w:ind w:left="117" w:right="104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数字技术在会计与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财务工作中的应用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52" w:line="21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会计信息化、数字化相关制度，数字技术在会计与财务</w:t>
            </w:r>
            <w:r>
              <w:rPr>
                <w:rFonts w:hint="default" w:ascii="Times New Roman" w:hAnsi="Times New Roman" w:cs="Times New Roman"/>
                <w:spacing w:val="-1"/>
              </w:rPr>
              <w:t>工作中的应用，预算管理一体化。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31" w:lineRule="auto"/>
              <w:ind w:left="141" w:right="128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1"/>
              </w:rPr>
              <w:t>专业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拓展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知识</w:t>
            </w:r>
          </w:p>
        </w:tc>
        <w:tc>
          <w:tcPr>
            <w:tcW w:w="1340" w:type="dxa"/>
            <w:vAlign w:val="top"/>
          </w:tcPr>
          <w:p>
            <w:pPr>
              <w:pStyle w:val="7"/>
              <w:spacing w:before="109" w:line="227" w:lineRule="auto"/>
              <w:ind w:left="187" w:right="186" w:firstLine="1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可持续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信息披露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97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16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110" w:line="227" w:lineRule="auto"/>
              <w:ind w:left="128" w:right="106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可持续信息披露研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究动态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66" w:line="213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可持续披露准则相关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情况，环境、社会与公司</w:t>
            </w:r>
            <w:r>
              <w:rPr>
                <w:rFonts w:hint="default" w:ascii="Times New Roman" w:hAnsi="Times New Roman" w:cs="Times New Roman"/>
                <w:spacing w:val="-1"/>
              </w:rPr>
              <w:t>治理（ESG）信息披露专题及相关热点问题。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7"/>
              <w:spacing w:before="267" w:line="216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审计基础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98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17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67" w:line="215" w:lineRule="auto"/>
              <w:ind w:left="1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审计基础知识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67" w:line="214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审计的基本理论、程序和方法等基础知识及相关热点问题。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7"/>
              <w:spacing w:before="209" w:line="218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金融基础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39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18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09" w:line="215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金融基础知识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08" w:line="214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金融风险防范、金融科技与监管、数字金融、国际金融</w:t>
            </w:r>
            <w:r>
              <w:rPr>
                <w:rFonts w:hint="default" w:ascii="Times New Roman" w:hAnsi="Times New Roman" w:cs="Times New Roman"/>
                <w:spacing w:val="-1"/>
              </w:rPr>
              <w:t>等基础知识及相关热点问题。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9" w:lineRule="auto"/>
              <w:ind w:left="443" w:right="186" w:hanging="2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财经相关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2"/>
              </w:rPr>
              <w:t>法规</w:t>
            </w:r>
          </w:p>
        </w:tc>
        <w:tc>
          <w:tcPr>
            <w:tcW w:w="507" w:type="dxa"/>
            <w:vAlign w:val="top"/>
          </w:tcPr>
          <w:p>
            <w:pPr>
              <w:pStyle w:val="7"/>
              <w:spacing w:before="287" w:line="188" w:lineRule="auto"/>
              <w:ind w:left="1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19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56" w:line="214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财政金融法律法规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56" w:line="214" w:lineRule="auto"/>
              <w:ind w:left="1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国有资产管理、预算、证券、保险、政府采购等领域的法律制度，票据法律制度等。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314" w:line="188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20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83" w:line="216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公司治理法律法规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83" w:line="213" w:lineRule="auto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公司、合伙企业、个人独资、外商投资企业等不同企业类别法律制</w:t>
            </w:r>
            <w:r>
              <w:rPr>
                <w:rFonts w:hint="default" w:ascii="Times New Roman" w:hAnsi="Times New Roman" w:cs="Times New Roman"/>
                <w:spacing w:val="-1"/>
              </w:rPr>
              <w:t>度，破产法律制度等。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7"/>
              <w:spacing w:before="254" w:line="188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21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23" w:line="216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其他法律法规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223" w:line="214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民法典中与经济业务事项相关的法律知识等。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29" w:lineRule="auto"/>
              <w:ind w:left="197" w:right="186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其他财会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财经热点</w:t>
            </w:r>
          </w:p>
        </w:tc>
        <w:tc>
          <w:tcPr>
            <w:tcW w:w="507" w:type="dxa"/>
            <w:vAlign w:val="top"/>
          </w:tcPr>
          <w:p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22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185" w:line="229" w:lineRule="auto"/>
              <w:ind w:left="117" w:righ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会计与财务前沿问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题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pStyle w:val="7"/>
              <w:spacing w:before="183" w:line="227" w:lineRule="auto"/>
              <w:ind w:left="113" w:right="108" w:firstLine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会计国际治理体系、国际会计准则最新发展、商业模式创新与会计变革、智能财务与共享中心建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设、“双碳”政策与会计行业发展等热点会计与财务问题。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188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23</w:t>
            </w:r>
          </w:p>
        </w:tc>
        <w:tc>
          <w:tcPr>
            <w:tcW w:w="2199" w:type="dxa"/>
            <w:vAlign w:val="top"/>
          </w:tcPr>
          <w:p>
            <w:pPr>
              <w:pStyle w:val="7"/>
              <w:spacing w:before="253" w:line="228" w:lineRule="auto"/>
              <w:ind w:left="142" w:right="104" w:hanging="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财税体制改革热点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9"/>
              </w:rPr>
              <w:t>问题</w:t>
            </w:r>
          </w:p>
        </w:tc>
        <w:tc>
          <w:tcPr>
            <w:tcW w:w="10367" w:type="dxa"/>
            <w:gridSpan w:val="3"/>
            <w:vAlign w:val="top"/>
          </w:tcPr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7"/>
              <w:spacing w:before="78" w:line="214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财税体制改革背景、历程与展望，财税体制改革相关理</w:t>
            </w:r>
            <w:r>
              <w:rPr>
                <w:rFonts w:hint="default" w:ascii="Times New Roman" w:hAnsi="Times New Roman" w:cs="Times New Roman"/>
                <w:spacing w:val="-1"/>
              </w:rPr>
              <w:t>论，财税体制改革主要内容等。</w:t>
            </w:r>
          </w:p>
        </w:tc>
      </w:tr>
    </w:tbl>
    <w:p>
      <w:pPr>
        <w:pStyle w:val="2"/>
        <w:spacing w:before="49" w:line="214" w:lineRule="auto"/>
        <w:ind w:left="472"/>
        <w:rPr>
          <w:sz w:val="22"/>
          <w:szCs w:val="22"/>
        </w:rPr>
      </w:pPr>
    </w:p>
    <w:sectPr>
      <w:footerReference r:id="rId7" w:type="default"/>
      <w:pgSz w:w="16839" w:h="11906"/>
      <w:pgMar w:top="1012" w:right="846" w:bottom="897" w:left="830" w:header="0" w:footer="7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516"/>
      <w:rPr>
        <w:rFonts w:hint="eastAsia" w:ascii="Arial" w:hAnsi="Arial" w:eastAsia="宋体" w:cs="Arial"/>
        <w:sz w:val="18"/>
        <w:szCs w:val="18"/>
        <w:lang w:val="en-US" w:eastAsia="zh-CN"/>
      </w:rPr>
    </w:pPr>
    <w:r>
      <w:rPr>
        <w:rFonts w:hint="eastAsia" w:eastAsia="宋体" w:cs="Arial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7515"/>
      <w:rPr>
        <w:rFonts w:hint="eastAsia" w:ascii="Arial" w:hAnsi="Arial" w:eastAsia="宋体" w:cs="Arial"/>
        <w:sz w:val="18"/>
        <w:szCs w:val="18"/>
        <w:lang w:val="en-US" w:eastAsia="zh-CN"/>
      </w:rPr>
    </w:pPr>
    <w:r>
      <w:rPr>
        <w:rFonts w:hint="eastAsia" w:eastAsia="宋体" w:cs="Arial"/>
        <w:spacing w:val="1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517"/>
      <w:rPr>
        <w:rFonts w:hint="eastAsia" w:ascii="Arial" w:hAnsi="Arial" w:eastAsia="宋体" w:cs="Arial"/>
        <w:sz w:val="18"/>
        <w:szCs w:val="18"/>
        <w:lang w:val="en-US" w:eastAsia="zh-CN"/>
      </w:rPr>
    </w:pPr>
    <w:r>
      <w:rPr>
        <w:rFonts w:hint="eastAsia" w:eastAsia="宋体" w:cs="Arial"/>
        <w:sz w:val="18"/>
        <w:szCs w:val="18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revisionView w:markup="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F61A80"/>
    <w:rsid w:val="13E66BA9"/>
    <w:rsid w:val="140C7D1F"/>
    <w:rsid w:val="BF8B2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3539</Words>
  <Characters>3593</Characters>
  <TotalTime>4</TotalTime>
  <ScaleCrop>false</ScaleCrop>
  <LinksUpToDate>false</LinksUpToDate>
  <CharactersWithSpaces>3740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2022-12-29T17:46:00Z</dcterms:created>
  <dc:creator>Admin</dc:creator>
  <cp:lastModifiedBy>kylin</cp:lastModifiedBy>
  <cp:lastPrinted>2025-03-27T11:14:00Z</cp:lastPrinted>
  <dcterms:modified xsi:type="dcterms:W3CDTF">2025-03-31T09:51:51Z</dcterms:modified>
  <dc:title>会计人员继续教育专业科目指南（试行）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2025-02-28T13:26:35Z</vt:filetime>
  </property>
  <property fmtid="{D5CDD505-2E9C-101B-9397-08002B2CF9AE}" pid="4" name="KSOTemplateDocerSaveRecord">
    <vt:lpwstr>eyJoZGlkIjoiYWM1MmNhNmUxMzAzMGQ0ZjBjMTliYjI2MTkyOWZhOGMiLCJ1c2VySWQiOiI0NTM0ODUwMTMifQ==</vt:lpwstr>
  </property>
  <property fmtid="{D5CDD505-2E9C-101B-9397-08002B2CF9AE}" pid="5" name="KSOProductBuildVer">
    <vt:lpwstr>2052-11.8.2.10290</vt:lpwstr>
  </property>
  <property fmtid="{D5CDD505-2E9C-101B-9397-08002B2CF9AE}" pid="6" name="ICV">
    <vt:lpwstr>E6D4211388844C29AA3FCA7947EB243B_12</vt:lpwstr>
  </property>
</Properties>
</file>