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38"/>
        <w:ind w:left="0"/>
        <w:jc w:val="center"/>
        <w:rPr>
          <w:rFonts w:ascii="方正小标宋_GBK" w:eastAsia="方正小标宋_GBK"/>
          <w:snapToGrid/>
          <w:color w:val="auto"/>
          <w:spacing w:val="0"/>
          <w:w w:val="100"/>
          <w:kern w:val="2"/>
          <w:position w:val="0"/>
          <w:sz w:val="44"/>
          <w:szCs w:val="44"/>
          <w:u w:val="none" w:color="auto"/>
          <w:vertAlign w:val="baseline"/>
          <w:em w:val="none"/>
          <w:lang w:bidi="ar-SA"/>
        </w:rPr>
      </w:pPr>
      <w:bookmarkStart w:id="0" w:name="cogw__正文标题__Text"/>
      <w:r>
        <w:rPr>
          <w:rFonts w:ascii="方正小标宋_GBK" w:eastAsia="方正小标宋_GBK"/>
          <w:snapToGrid/>
          <w:color w:val="auto"/>
          <w:spacing w:val="0"/>
          <w:w w:val="100"/>
          <w:kern w:val="2"/>
          <w:position w:val="0"/>
          <w:sz w:val="44"/>
          <w:szCs w:val="44"/>
          <w:u w:val="none" w:color="auto"/>
          <w:vertAlign w:val="baseline"/>
          <w:em w:val="none"/>
          <w:lang w:bidi="ar-SA"/>
        </w:rPr>
        <w:t>起草</w:t>
      </w:r>
      <w:r>
        <w:rPr>
          <w:rFonts w:ascii="方正小标宋_GBK" w:eastAsia="方正小标宋_GBK" w:hint="eastAsia"/>
          <w:snapToGrid/>
          <w:color w:val="auto"/>
          <w:spacing w:val="0"/>
          <w:w w:val="100"/>
          <w:kern w:val="2"/>
          <w:position w:val="0"/>
          <w:sz w:val="44"/>
          <w:szCs w:val="44"/>
          <w:u w:val="none" w:color="auto"/>
          <w:vertAlign w:val="baseline"/>
          <w:em w:val="none"/>
          <w:lang w:bidi="ar-SA"/>
        </w:rPr>
        <w:t>说明</w:t>
      </w:r>
    </w:p>
    <w:p>
      <w:pPr>
        <w:pStyle w:val="24"/>
        <w:spacing w:line="560" w:lineRule="exact"/>
        <w:rPr>
          <w:rFonts w:hint="eastAsia"/>
        </w:rPr>
      </w:pPr>
    </w:p>
    <w:p>
      <w:pPr>
        <w:pStyle w:val="38"/>
        <w:ind w:firstLineChars="200" w:firstLine="624"/>
        <w:rPr>
          <w:snapToGrid/>
          <w:color w:val="auto"/>
          <w:spacing w:val="0"/>
          <w:w w:val="100"/>
          <w:kern w:val="2"/>
          <w:position w:val="0"/>
          <w:szCs w:val="32"/>
          <w:u w:val="none" w:color="auto"/>
          <w:vertAlign w:val="baseline"/>
          <w:em w:val="none"/>
          <w:lang w:bidi="ar-SA"/>
        </w:rPr>
      </w:pPr>
      <w:r>
        <w:rPr>
          <w:szCs w:val="32"/>
        </w:rPr>
        <w:t>为</w:t>
      </w:r>
      <w:r>
        <w:rPr>
          <w:rFonts w:hint="eastAsia"/>
          <w:szCs w:val="32"/>
        </w:rPr>
        <w:t>全面贯彻落实党的二十大和二十届二中、三中全会以及中央经济工作会议精神，</w:t>
      </w:r>
      <w:r>
        <w:rPr>
          <w:rFonts w:ascii="Times New Roman" w:eastAsia="方正仿宋_GBK" w:cs="Times New Roman" w:hAnsi="Times New Roman"/>
          <w:sz w:val="32"/>
          <w:szCs w:val="32"/>
        </w:rPr>
        <w:t>充分发挥海关主动披露制度在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促进外贸稳定增长</w:t>
      </w:r>
      <w:bookmarkStart w:id="1" w:name="_GoBack"/>
      <w:bookmarkEnd w:id="1"/>
      <w:r>
        <w:rPr>
          <w:rFonts w:ascii="Times New Roman" w:eastAsia="方正仿宋_GBK" w:cs="Times New Roman" w:hAnsi="Times New Roman"/>
          <w:sz w:val="32"/>
          <w:szCs w:val="32"/>
        </w:rPr>
        <w:t>方面的积极作用，</w:t>
      </w:r>
      <w:r>
        <w:rPr>
          <w:rFonts w:ascii="方正仿宋_GBK" w:eastAsia="方正仿宋_GBK" w:cs="Times New Roman"/>
          <w:sz w:val="32"/>
          <w:szCs w:val="32"/>
        </w:rPr>
        <w:t>海关</w:t>
      </w:r>
      <w:r>
        <w:rPr>
          <w:rFonts w:ascii="方正仿宋_GBK" w:eastAsia="方正仿宋_GBK" w:cs="Times New Roman" w:hint="eastAsia"/>
          <w:sz w:val="32"/>
          <w:szCs w:val="32"/>
        </w:rPr>
        <w:t>总署</w:t>
      </w:r>
      <w:r>
        <w:rPr>
          <w:rFonts w:ascii="方正仿宋_GBK" w:eastAsia="方正仿宋_GBK" w:cs="Times New Roman"/>
          <w:sz w:val="32"/>
          <w:szCs w:val="32"/>
        </w:rPr>
        <w:t>对主动披露制度进行修订，在前期征求内部意见和深入研究的基础上形成</w:t>
      </w:r>
      <w:r>
        <w:rPr>
          <w:rFonts w:ascii="方正仿宋_GBK" w:eastAsia="方正仿宋_GBK" w:cs="Times New Roman" w:hint="eastAsia"/>
          <w:sz w:val="32"/>
          <w:szCs w:val="32"/>
        </w:rPr>
        <w:t>了</w:t>
      </w:r>
      <w:r>
        <w:rPr>
          <w:rFonts w:ascii="方正仿宋_GBK" w:eastAsia="方正仿宋_GBK" w:hint="eastAsia"/>
          <w:sz w:val="32"/>
          <w:szCs w:val="32"/>
        </w:rPr>
        <w:t>《</w:t>
      </w:r>
      <w:r>
        <w:rPr>
          <w:rFonts w:ascii="方正仿宋_GBK" w:eastAsia="方正仿宋_GBK"/>
          <w:sz w:val="32"/>
          <w:szCs w:val="32"/>
        </w:rPr>
        <w:t>海关总署关于处理主动披露违规行为有关事项的公告》</w:t>
      </w:r>
      <w:r>
        <w:rPr>
          <w:rFonts w:ascii="方正仿宋_GBK" w:eastAsia="方正仿宋_GBK" w:cs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bCs/>
          <w:snapToGrid w:val="0"/>
          <w:sz w:val="32"/>
          <w:szCs w:val="32"/>
        </w:rPr>
        <w:t>现就</w:t>
      </w:r>
      <w:r>
        <w:rPr>
          <w:rFonts w:ascii="方正仿宋_GBK" w:eastAsia="方正仿宋_GBK" w:cs="Times New Roman"/>
          <w:sz w:val="32"/>
          <w:szCs w:val="32"/>
        </w:rPr>
        <w:t>有关</w:t>
      </w:r>
      <w:r>
        <w:rPr>
          <w:rFonts w:ascii="方正仿宋_GBK" w:eastAsia="方正仿宋_GBK" w:cs="Times New Roman" w:hint="eastAsia"/>
          <w:sz w:val="32"/>
          <w:szCs w:val="32"/>
        </w:rPr>
        <w:t>情况说明如下：</w:t>
      </w:r>
    </w:p>
    <w:p>
      <w:pPr>
        <w:pStyle w:val="38"/>
        <w:ind w:firstLineChars="200" w:firstLine="640"/>
        <w:rPr>
          <w:rFonts w:ascii="方正黑体_GBK" w:eastAsia="方正黑体_GBK" w:hint="eastAsia"/>
          <w:spacing w:val="0"/>
          <w:szCs w:val="32"/>
          <w:lang w:bidi="ar-SA"/>
        </w:rPr>
      </w:pPr>
      <w:r>
        <w:rPr>
          <w:rFonts w:ascii="方正黑体_GBK" w:eastAsia="方正黑体_GBK" w:hint="eastAsia"/>
          <w:spacing w:val="0"/>
          <w:szCs w:val="32"/>
          <w:lang w:bidi="ar-SA"/>
        </w:rPr>
        <w:t>一、起草背景</w:t>
      </w:r>
    </w:p>
    <w:p>
      <w:pPr>
        <w:pStyle w:val="38"/>
        <w:ind w:firstLineChars="200" w:firstLine="640"/>
        <w:rPr>
          <w:rFonts w:ascii="方正仿宋_GBK" w:hint="eastAsia"/>
          <w:szCs w:val="32"/>
        </w:rPr>
      </w:pPr>
      <w:r>
        <w:rPr>
          <w:snapToGrid/>
          <w:color w:val="auto"/>
          <w:spacing w:val="0"/>
          <w:w w:val="100"/>
          <w:kern w:val="2"/>
          <w:position w:val="0"/>
          <w:szCs w:val="32"/>
          <w:u w:val="none" w:color="auto"/>
          <w:vertAlign w:val="baseline"/>
          <w:em w:val="none"/>
          <w:lang w:bidi="ar-SA"/>
        </w:rPr>
        <w:t>2023年10</w:t>
      </w:r>
      <w:r>
        <w:rPr>
          <w:rFonts w:ascii="方正仿宋_GBK" w:hint="eastAsia"/>
          <w:snapToGrid/>
          <w:color w:val="auto"/>
          <w:spacing w:val="0"/>
          <w:w w:val="100"/>
          <w:kern w:val="2"/>
          <w:position w:val="0"/>
          <w:szCs w:val="32"/>
          <w:u w:val="none" w:color="auto"/>
          <w:vertAlign w:val="baseline"/>
          <w:em w:val="none"/>
          <w:lang w:bidi="ar-SA"/>
        </w:rPr>
        <w:t>月，</w:t>
      </w:r>
      <w:r>
        <w:rPr>
          <w:rFonts w:ascii="方正仿宋_GBK" w:cs="方正仿宋_GBK" w:hint="eastAsia"/>
          <w:kern w:val="0"/>
          <w:szCs w:val="32"/>
          <w:lang w:bidi="ar-SA"/>
        </w:rPr>
        <w:t>海关总署发布</w:t>
      </w:r>
      <w:r>
        <w:rPr>
          <w:rFonts w:ascii="方正仿宋_GBK" w:hint="eastAsia"/>
          <w:snapToGrid/>
          <w:color w:val="auto"/>
          <w:spacing w:val="0"/>
          <w:w w:val="100"/>
          <w:kern w:val="2"/>
          <w:position w:val="0"/>
          <w:szCs w:val="32"/>
          <w:u w:val="none" w:color="auto"/>
          <w:vertAlign w:val="baseline"/>
          <w:em w:val="none"/>
          <w:lang w:bidi="ar-SA"/>
        </w:rPr>
        <w:t>《关于处理主动披露违规行为有关事项的公告》</w:t>
      </w:r>
      <w:bookmarkEnd w:id="0"/>
      <w:r>
        <w:rPr>
          <w:rFonts w:ascii="方正仿宋_GBK" w:hint="eastAsia"/>
          <w:bCs/>
          <w:kern w:val="0"/>
          <w:szCs w:val="32"/>
        </w:rPr>
        <w:t>（公告</w:t>
      </w:r>
      <w:r>
        <w:rPr>
          <w:bCs/>
          <w:spacing w:val="0"/>
          <w:szCs w:val="32"/>
        </w:rPr>
        <w:t>〔2023〕127号</w:t>
      </w:r>
      <w:r>
        <w:rPr>
          <w:rFonts w:ascii="方正仿宋_GBK" w:hint="eastAsia"/>
          <w:bCs/>
          <w:kern w:val="0"/>
          <w:szCs w:val="32"/>
        </w:rPr>
        <w:t>，以下简称“</w:t>
      </w:r>
      <w:r>
        <w:rPr>
          <w:bCs/>
          <w:spacing w:val="0"/>
          <w:szCs w:val="32"/>
        </w:rPr>
        <w:t>127</w:t>
      </w:r>
      <w:r>
        <w:rPr>
          <w:rFonts w:ascii="方正仿宋_GBK" w:hint="eastAsia"/>
          <w:bCs/>
          <w:kern w:val="0"/>
          <w:szCs w:val="32"/>
        </w:rPr>
        <w:t>号公告”），</w:t>
      </w:r>
      <w:r>
        <w:rPr>
          <w:rFonts w:ascii="方正仿宋_GBK" w:cs="方正仿宋_GBK" w:hint="eastAsia"/>
          <w:szCs w:val="32"/>
          <w:lang w:bidi="ar-SA"/>
        </w:rPr>
        <w:t>拓宽了主披露量限和种类范围</w:t>
      </w:r>
      <w:r>
        <w:rPr>
          <w:rFonts w:ascii="方正仿宋_GBK" w:cs="方正仿宋_GBK" w:hint="eastAsia"/>
          <w:kern w:val="0"/>
          <w:szCs w:val="32"/>
          <w:lang w:bidi="ar-SA"/>
        </w:rPr>
        <w:t>，</w:t>
      </w:r>
      <w:r>
        <w:rPr>
          <w:rFonts w:ascii="方正仿宋_GBK" w:cs="Times New Roman" w:hint="eastAsia"/>
          <w:szCs w:val="32"/>
          <w:lang w:bidi="ar-SA"/>
        </w:rPr>
        <w:t>社会各界反响强烈，普遍给予积极评价。</w:t>
      </w:r>
      <w:r>
        <w:rPr>
          <w:spacing w:val="0"/>
          <w:szCs w:val="32"/>
        </w:rPr>
        <w:t>127号公告有效期至2025年10月10日</w:t>
      </w:r>
      <w:r>
        <w:rPr>
          <w:rFonts w:ascii="方正仿宋_GBK" w:cs="Times New Roman" w:hint="eastAsia"/>
          <w:szCs w:val="32"/>
          <w:lang w:bidi="ar-SA"/>
        </w:rPr>
        <w:t>，为持续释放主动披露政策红利，进一步引导企业</w:t>
      </w:r>
      <w:r>
        <w:rPr>
          <w:rFonts w:ascii="方正仿宋_GBK" w:hint="eastAsia"/>
          <w:szCs w:val="32"/>
        </w:rPr>
        <w:t>守法经营、规范发展，</w:t>
      </w:r>
      <w:r>
        <w:rPr>
          <w:rFonts w:ascii="方正仿宋_GBK"/>
          <w:szCs w:val="32"/>
        </w:rPr>
        <w:t>海关总署</w:t>
      </w:r>
      <w:r>
        <w:rPr>
          <w:szCs w:val="32"/>
        </w:rPr>
        <w:t>对127号</w:t>
      </w:r>
      <w:r>
        <w:rPr>
          <w:rFonts w:ascii="方正仿宋_GBK"/>
          <w:szCs w:val="32"/>
        </w:rPr>
        <w:t>公告进行修订，拟制发</w:t>
      </w:r>
      <w:r>
        <w:rPr>
          <w:rFonts w:ascii="方正仿宋_GBK" w:hint="eastAsia"/>
          <w:szCs w:val="32"/>
        </w:rPr>
        <w:t>《</w:t>
      </w:r>
      <w:r>
        <w:rPr>
          <w:rFonts w:ascii="方正仿宋_GBK" w:hint="eastAsia"/>
          <w:szCs w:val="32"/>
          <w:lang w:bidi="ar-SA"/>
        </w:rPr>
        <w:t>海关总署关于处理主动披露违规行为有关事项的公告</w:t>
      </w:r>
      <w:r>
        <w:rPr>
          <w:rFonts w:ascii="方正仿宋_GBK" w:hint="eastAsia"/>
          <w:szCs w:val="32"/>
        </w:rPr>
        <w:t>》。</w:t>
      </w:r>
    </w:p>
    <w:p>
      <w:pPr>
        <w:spacing w:line="560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</w:t>
      </w:r>
      <w:r>
        <w:rPr>
          <w:rFonts w:ascii="方正黑体_GBK" w:eastAsia="方正黑体_GBK"/>
          <w:sz w:val="32"/>
          <w:szCs w:val="32"/>
        </w:rPr>
        <w:t>修订</w:t>
      </w:r>
      <w:r>
        <w:rPr>
          <w:rFonts w:ascii="方正黑体_GBK" w:eastAsia="方正黑体_GBK" w:hint="eastAsia"/>
          <w:sz w:val="32"/>
          <w:szCs w:val="32"/>
        </w:rPr>
        <w:t>主要内容</w:t>
      </w:r>
    </w:p>
    <w:p>
      <w:pPr>
        <w:pStyle w:val="16"/>
        <w:spacing w:line="560" w:lineRule="exact"/>
        <w:ind w:firstLineChars="200" w:firstLine="640"/>
        <w:rPr>
          <w:rFonts w:ascii="方正楷体_GBK" w:eastAsia="方正楷体_GBK" w:hint="eastAsia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Cs w:val="32"/>
        </w:rPr>
        <w:t>（一）取消影响海关统计准确性行为免罚不必要的限制性条件</w:t>
      </w:r>
      <w:r>
        <w:rPr>
          <w:rFonts w:ascii="方正楷体_GBK" w:eastAsia="方正楷体_GBK"/>
          <w:b/>
          <w:bCs/>
          <w:szCs w:val="32"/>
        </w:rPr>
        <w:t>。</w:t>
      </w:r>
    </w:p>
    <w:p>
      <w:pPr>
        <w:pStyle w:val="29"/>
        <w:spacing w:line="560" w:lineRule="exact"/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Times New Roman"/>
          <w:sz w:val="32"/>
          <w:szCs w:val="32"/>
        </w:rPr>
        <w:t>与</w:t>
      </w:r>
      <w:r>
        <w:rPr>
          <w:rFonts w:ascii="方正仿宋_GBK" w:eastAsia="方正仿宋_GBK" w:cs="Times New Roman" w:hint="eastAsia"/>
          <w:sz w:val="32"/>
          <w:szCs w:val="32"/>
        </w:rPr>
        <w:t>《中华人民共和国海关行政处罚裁量基准（一）》（公告</w:t>
      </w:r>
      <w:r>
        <w:rPr>
          <w:rFonts w:eastAsia="方正仿宋_GBK" w:cs="Times New Roman"/>
          <w:sz w:val="32"/>
          <w:szCs w:val="32"/>
        </w:rPr>
        <w:t xml:space="preserve">〔2023〕182 </w:t>
      </w:r>
      <w:r>
        <w:rPr>
          <w:rFonts w:ascii="方正仿宋_GBK" w:eastAsia="方正仿宋_GBK" w:cs="Times New Roman" w:hint="eastAsia"/>
          <w:sz w:val="32"/>
          <w:szCs w:val="32"/>
        </w:rPr>
        <w:t>号）</w:t>
      </w:r>
      <w:r>
        <w:rPr>
          <w:rFonts w:ascii="方正仿宋_GBK" w:eastAsia="方正仿宋_GBK" w:cs="Times New Roman"/>
          <w:sz w:val="32"/>
          <w:szCs w:val="32"/>
        </w:rPr>
        <w:t>保持立法一致，删除第一条第（五）项的时间和金额限制，删除后为</w:t>
      </w:r>
      <w:r>
        <w:rPr>
          <w:rFonts w:ascii="方正仿宋_GBK" w:eastAsia="方正仿宋_GBK" w:cs="Times New Roman" w:hint="eastAsia"/>
          <w:sz w:val="32"/>
          <w:szCs w:val="32"/>
        </w:rPr>
        <w:t>“</w:t>
      </w:r>
      <w:r>
        <w:rPr>
          <w:rFonts w:ascii="方正仿宋_GBK" w:eastAsia="方正仿宋_GBK" w:hint="eastAsia"/>
          <w:bCs/>
          <w:sz w:val="32"/>
          <w:szCs w:val="32"/>
        </w:rPr>
        <w:t>适用《中华人民共和国海关行政处罚实施条例》第十五条第（一）项规定处理的。</w:t>
      </w:r>
      <w:r>
        <w:rPr>
          <w:rFonts w:ascii="方正仿宋_GBK" w:eastAsia="方正仿宋_GBK" w:cs="Times New Roman" w:hint="eastAsia"/>
          <w:sz w:val="32"/>
          <w:szCs w:val="32"/>
        </w:rPr>
        <w:t>”</w:t>
      </w:r>
    </w:p>
    <w:p>
      <w:pPr>
        <w:pStyle w:val="29"/>
        <w:spacing w:line="560" w:lineRule="exact"/>
        <w:ind w:firstLineChars="200" w:firstLine="640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楷体_GBK" w:eastAsia="方正楷体_GBK" w:cs="Times New Roman" w:hint="eastAsia"/>
          <w:b/>
          <w:bCs/>
          <w:sz w:val="32"/>
          <w:szCs w:val="32"/>
        </w:rPr>
        <w:t>（</w:t>
      </w:r>
      <w:r>
        <w:rPr>
          <w:rFonts w:ascii="方正楷体_GBK" w:eastAsia="方正楷体_GBK" w:cs="Times New Roman"/>
          <w:b/>
          <w:bCs/>
          <w:sz w:val="32"/>
          <w:szCs w:val="32"/>
        </w:rPr>
        <w:t>二</w:t>
      </w:r>
      <w:r>
        <w:rPr>
          <w:rFonts w:ascii="方正楷体_GBK" w:eastAsia="方正楷体_GBK" w:cs="Times New Roman" w:hint="eastAsia"/>
          <w:b/>
          <w:bCs/>
          <w:sz w:val="32"/>
          <w:szCs w:val="32"/>
        </w:rPr>
        <w:t>）</w:t>
      </w:r>
      <w:r>
        <w:rPr>
          <w:rFonts w:ascii="方正楷体_GBK" w:eastAsia="方正楷体_GBK" w:cs="Times New Roman"/>
          <w:b/>
          <w:bCs/>
          <w:sz w:val="32"/>
          <w:szCs w:val="32"/>
        </w:rPr>
        <w:t>调整</w:t>
      </w:r>
      <w:r>
        <w:rPr>
          <w:rFonts w:ascii="方正楷体_GBK" w:eastAsia="方正楷体_GBK" w:cs="Times New Roman" w:hint="eastAsia"/>
          <w:b/>
          <w:bCs/>
          <w:sz w:val="32"/>
          <w:szCs w:val="32"/>
        </w:rPr>
        <w:t>检验检疫领域违规行为</w:t>
      </w:r>
      <w:r>
        <w:rPr>
          <w:rFonts w:ascii="方正楷体_GBK" w:eastAsia="方正楷体_GBK" w:cs="Times New Roman"/>
          <w:b/>
          <w:bCs/>
          <w:sz w:val="32"/>
          <w:szCs w:val="32"/>
        </w:rPr>
        <w:t>适用主动披露免罚的情形及条件。</w:t>
      </w:r>
    </w:p>
    <w:p>
      <w:pPr>
        <w:pStyle w:val="30"/>
        <w:spacing w:line="560" w:lineRule="exact"/>
        <w:ind w:left="0" w:firstLineChars="200" w:firstLine="640"/>
        <w:rPr>
          <w:rFonts w:eastAsia="方正仿宋_GBK"/>
          <w:bCs/>
          <w:szCs w:val="32"/>
        </w:rPr>
      </w:pPr>
      <w:r>
        <w:rPr>
          <w:rFonts w:eastAsia="方正仿宋_GBK"/>
          <w:szCs w:val="32"/>
        </w:rPr>
        <w:t>参考</w:t>
      </w:r>
      <w:r>
        <w:rPr>
          <w:rFonts w:eastAsia="方正仿宋_GBK"/>
          <w:sz w:val="32"/>
          <w:szCs w:val="32"/>
        </w:rPr>
        <w:t>《</w:t>
      </w:r>
      <w:r>
        <w:rPr>
          <w:rFonts w:eastAsia="方正仿宋_GBK" w:hint="eastAsia"/>
          <w:sz w:val="32"/>
          <w:szCs w:val="32"/>
        </w:rPr>
        <w:t>中华人民共和国海关行政处罚裁量基准（二）</w:t>
      </w:r>
      <w:r>
        <w:rPr>
          <w:rFonts w:eastAsia="方正仿宋_GBK"/>
          <w:sz w:val="32"/>
          <w:szCs w:val="32"/>
        </w:rPr>
        <w:t>》（公告</w:t>
      </w:r>
      <w:r>
        <w:rPr>
          <w:rFonts w:eastAsia="方正仿宋_GBK" w:cs="Times New Roman"/>
          <w:sz w:val="32"/>
          <w:szCs w:val="32"/>
        </w:rPr>
        <w:t>〔2025〕21</w:t>
      </w:r>
      <w:r>
        <w:rPr>
          <w:rFonts w:ascii="方正仿宋_GBK" w:eastAsia="方正仿宋_GBK" w:cs="Times New Roman" w:hint="eastAsia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）附件4</w:t>
      </w:r>
      <w:r>
        <w:rPr>
          <w:rFonts w:hint="eastAsia"/>
          <w:bCs/>
          <w:szCs w:val="32"/>
        </w:rPr>
        <w:t>海关</w:t>
      </w:r>
      <w:bookmarkStart w:id="2" w:name="_Hlk137113240"/>
      <w:r>
        <w:rPr>
          <w:rFonts w:hint="eastAsia"/>
          <w:bCs/>
          <w:szCs w:val="32"/>
        </w:rPr>
        <w:t>简易程序和快速办理行政处罚常见案件</w:t>
      </w:r>
      <w:bookmarkEnd w:id="2"/>
      <w:r>
        <w:rPr>
          <w:rFonts w:hint="eastAsia"/>
          <w:bCs/>
          <w:szCs w:val="32"/>
        </w:rPr>
        <w:t>裁量基准（二）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Cs w:val="32"/>
        </w:rPr>
        <w:t>将</w:t>
      </w:r>
      <w:r>
        <w:rPr>
          <w:rFonts w:ascii="方正仿宋_GBK" w:eastAsia="方正仿宋_GBK"/>
          <w:bCs/>
          <w:color w:val="000000"/>
          <w:szCs w:val="32"/>
        </w:rPr>
        <w:t>第一条第（八）项修改为</w:t>
      </w:r>
      <w:r>
        <w:rPr>
          <w:rFonts w:ascii="方正仿宋_GBK" w:eastAsia="方正仿宋_GBK" w:hint="eastAsia"/>
          <w:bCs/>
          <w:color w:val="000000"/>
          <w:szCs w:val="32"/>
        </w:rPr>
        <w:t>“</w:t>
      </w:r>
      <w:r>
        <w:rPr>
          <w:rFonts w:eastAsia="方正仿宋_GBK"/>
          <w:bCs/>
          <w:color w:val="000000"/>
          <w:szCs w:val="32"/>
        </w:rPr>
        <w:t>进出口企业、单位</w:t>
      </w:r>
      <w:r>
        <w:rPr>
          <w:rFonts w:eastAsia="方正仿宋_GBK"/>
          <w:bCs/>
          <w:szCs w:val="32"/>
        </w:rPr>
        <w:t>主动披露以下违反海关检验检疫业务规定的行为，且能够及时办理海关手续，未造成危害后果，货值在50万元以下，法律、行政法规、海关规章规定处警告、最高罚款3万元以下的，不予行政处罚：</w:t>
      </w:r>
    </w:p>
    <w:p>
      <w:pPr>
        <w:pStyle w:val="64"/>
        <w:spacing w:line="560" w:lineRule="exact"/>
        <w:ind w:left="0"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  <w:lang w:bidi="ar-SA"/>
        </w:rPr>
      </w:pPr>
      <w:r>
        <w:rPr>
          <w:bCs/>
          <w:color w:val="000000"/>
          <w:szCs w:val="32"/>
        </w:rPr>
        <w:t>1.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bidi="ar-SA"/>
        </w:rPr>
        <w:t>出境竹木草制品未报检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bidi="ar-SA"/>
        </w:rPr>
        <w:t>；</w:t>
      </w:r>
    </w:p>
    <w:p>
      <w:pPr>
        <w:pStyle w:val="64"/>
        <w:spacing w:line="560" w:lineRule="exact"/>
        <w:ind w:left="0"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  <w:lang w:bidi="ar-SA"/>
        </w:rPr>
      </w:pPr>
      <w:r>
        <w:rPr>
          <w:bCs/>
          <w:color w:val="000000"/>
          <w:szCs w:val="32"/>
        </w:rPr>
        <w:t>2.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bidi="ar-SA"/>
        </w:rPr>
        <w:t>出境竹木草制品报检与实际不符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bidi="ar-SA"/>
        </w:rPr>
        <w:t>；</w:t>
      </w:r>
    </w:p>
    <w:p>
      <w:pPr>
        <w:pStyle w:val="29"/>
        <w:spacing w:line="560" w:lineRule="exact"/>
        <w:ind w:firstLineChars="200" w:firstLine="640"/>
        <w:rPr>
          <w:rFonts w:eastAsia="方正仿宋_GBK"/>
          <w:bCs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bidi="ar-SA"/>
        </w:rPr>
        <w:t>3.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bidi="ar-SA"/>
        </w:rPr>
        <w:t>进境货物使用木质包装未报检</w:t>
      </w:r>
      <w:r>
        <w:rPr>
          <w:rFonts w:eastAsia="方正仿宋_GBK"/>
          <w:bCs/>
          <w:szCs w:val="32"/>
        </w:rPr>
        <w:t>。</w:t>
      </w:r>
    </w:p>
    <w:p>
      <w:pPr>
        <w:pStyle w:val="30"/>
        <w:spacing w:line="560" w:lineRule="exact"/>
        <w:ind w:left="0" w:firstLineChars="200" w:firstLine="640"/>
        <w:rPr>
          <w:rFonts w:ascii="方正仿宋_GBK" w:eastAsia="方正仿宋_GBK"/>
          <w:bCs/>
          <w:color w:val="000000"/>
          <w:szCs w:val="32"/>
        </w:rPr>
      </w:pPr>
      <w:r>
        <w:rPr>
          <w:rFonts w:eastAsia="方正仿宋_GBK"/>
          <w:bCs/>
          <w:szCs w:val="32"/>
        </w:rPr>
        <w:t>但检验检疫类</w:t>
      </w:r>
      <w:r>
        <w:rPr>
          <w:rFonts w:eastAsia="方正仿宋_GBK"/>
          <w:bCs/>
          <w:color w:val="000000"/>
          <w:szCs w:val="32"/>
        </w:rPr>
        <w:t>涉及安全、环保、卫生类事项的除外。</w:t>
      </w:r>
      <w:r>
        <w:rPr>
          <w:rFonts w:ascii="方正仿宋_GBK" w:eastAsia="方正仿宋_GBK" w:hint="eastAsia"/>
          <w:bCs/>
          <w:color w:val="000000"/>
          <w:szCs w:val="32"/>
        </w:rPr>
        <w:t>”</w:t>
      </w:r>
    </w:p>
    <w:p>
      <w:pPr>
        <w:pStyle w:val="30"/>
        <w:spacing w:line="560" w:lineRule="exact"/>
        <w:ind w:left="0" w:firstLineChars="200" w:firstLine="640"/>
        <w:rPr>
          <w:rFonts w:ascii="方正楷体_GBK" w:eastAsia="方正楷体_GBK"/>
          <w:b/>
          <w:bCs/>
          <w:szCs w:val="32"/>
        </w:rPr>
      </w:pPr>
      <w:r>
        <w:rPr>
          <w:rFonts w:ascii="方正楷体_GBK" w:eastAsia="方正楷体_GBK" w:hint="eastAsia"/>
          <w:b/>
          <w:bCs/>
          <w:szCs w:val="32"/>
        </w:rPr>
        <w:t>（</w:t>
      </w:r>
      <w:r>
        <w:rPr>
          <w:rFonts w:ascii="方正楷体_GBK" w:eastAsia="方正楷体_GBK"/>
          <w:b/>
          <w:bCs/>
          <w:szCs w:val="32"/>
        </w:rPr>
        <w:t>三</w:t>
      </w:r>
      <w:r>
        <w:rPr>
          <w:rFonts w:ascii="方正楷体_GBK" w:eastAsia="方正楷体_GBK" w:hint="eastAsia"/>
          <w:b/>
          <w:bCs/>
          <w:szCs w:val="32"/>
        </w:rPr>
        <w:t>）延长公告有效期。</w:t>
      </w:r>
    </w:p>
    <w:p>
      <w:pPr>
        <w:pStyle w:val="30"/>
        <w:spacing w:line="560" w:lineRule="exact"/>
        <w:ind w:left="0" w:firstLineChars="200" w:firstLine="640"/>
        <w:rPr>
          <w:rFonts w:ascii="方正楷体_GBK" w:eastAsia="方正楷体_GBK" w:hint="eastAsia"/>
          <w:b/>
          <w:bCs/>
          <w:szCs w:val="32"/>
        </w:rPr>
      </w:pPr>
      <w:r>
        <w:rPr>
          <w:bCs/>
          <w:szCs w:val="32"/>
        </w:rPr>
        <w:t>公告有效期设定为</w:t>
      </w:r>
      <w:r>
        <w:rPr>
          <w:rFonts w:hint="eastAsia"/>
          <w:bCs/>
          <w:szCs w:val="32"/>
        </w:rPr>
        <w:t>“</w:t>
      </w:r>
      <w:r>
        <w:rPr>
          <w:bCs/>
          <w:szCs w:val="32"/>
        </w:rPr>
        <w:t>自</w:t>
      </w:r>
      <w:r>
        <w:rPr>
          <w:bCs/>
          <w:color w:val="000000"/>
          <w:szCs w:val="32"/>
        </w:rPr>
        <w:t>2025年10月11日起</w:t>
      </w:r>
      <w:r>
        <w:rPr>
          <w:color w:val="000000"/>
          <w:szCs w:val="32"/>
        </w:rPr>
        <w:t>至2027年6月30日</w:t>
      </w:r>
      <w:r>
        <w:rPr>
          <w:rFonts w:ascii="方正楷体_GBK" w:eastAsia="方正楷体_GBK" w:hint="eastAsia"/>
          <w:b/>
          <w:bCs/>
          <w:szCs w:val="32"/>
        </w:rPr>
        <w:t>”</w:t>
      </w:r>
      <w:r>
        <w:rPr>
          <w:rFonts w:ascii="方正楷体_GBK" w:eastAsia="方正楷体_GBK"/>
          <w:szCs w:val="32"/>
        </w:rPr>
        <w:t>。</w:t>
      </w:r>
    </w:p>
    <w:p>
      <w:pPr>
        <w:pStyle w:val="30"/>
        <w:spacing w:line="560" w:lineRule="exact"/>
        <w:ind w:left="0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特此说明。</w:t>
      </w:r>
    </w:p>
    <w:sectPr>
      <w:pgSz w:w="11907" w:h="16839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华文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3409487B"/>
    <w:multiLevelType w:val="single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60"/>
  <w:doNotDisplayPageBoundaries/>
  <w:displayBackgroundShape/>
  <w:bordersDoNotSurroundHeader/>
  <w:bordersDoNotSurroundFooter/>
  <w:trackRevisions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7"/>
    <w:basedOn w:val="0"/>
    <w:autoRedefine/>
    <w:next w:val="0"/>
    <w:pPr>
      <w:ind w:left="2520"/>
    </w:pPr>
  </w:style>
  <w:style w:type="paragraph" w:customStyle="1" w:styleId="16">
    <w:name w:val="样式 66 三号"/>
    <w:next w:val="17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7">
    <w:name w:val="List 5"/>
    <w:basedOn w:val="0"/>
    <w:pPr>
      <w:ind w:left="2100" w:hanging="420"/>
    </w:pPr>
  </w:style>
  <w:style w:type="paragraph" w:styleId="18">
    <w:name w:val="List Number 2"/>
    <w:basedOn w:val="0"/>
    <w:pPr>
      <w:numPr>
        <w:ilvl w:val="0"/>
        <w:numId w:val="1"/>
      </w:numPr>
    </w:pPr>
  </w:style>
  <w:style w:type="paragraph" w:customStyle="1" w:styleId="19">
    <w:name w:val="样式 7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0">
    <w:name w:val="样式 3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snapToGrid/>
      <w:color w:val="auto"/>
      <w:spacing w:val="-4"/>
      <w:w w:val="100"/>
      <w:kern w:val="2"/>
      <w:position w:val="0"/>
      <w:sz w:val="32"/>
      <w:szCs w:val="28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1">
    <w:name w:val="样式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2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3">
    <w:name w:val="样式 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4">
    <w:name w:val="样式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25">
    <w:name w:val="toc 4"/>
    <w:basedOn w:val="0"/>
    <w:autoRedefine/>
    <w:next w:val="0"/>
    <w:pPr>
      <w:ind w:left="1260"/>
    </w:pPr>
  </w:style>
  <w:style w:type="paragraph" w:styleId="26">
    <w:name w:val="toc 7"/>
    <w:basedOn w:val="0"/>
    <w:autoRedefine/>
    <w:next w:val="0"/>
    <w:pPr>
      <w:ind w:left="2520"/>
    </w:pPr>
  </w:style>
  <w:style w:type="paragraph" w:styleId="27">
    <w:name w:val="Document Map"/>
    <w:basedOn w:val="0"/>
    <w:pPr>
      <w:shd w:val="clear" w:color="auto" w:fill="000080"/>
    </w:pPr>
  </w:style>
  <w:style w:type="paragraph" w:customStyle="1" w:styleId="28">
    <w:name w:val="样式 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">
    <w:name w:val="样式 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">
    <w:name w:val="样式 111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1">
    <w:name w:val="样式 29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2">
    <w:name w:val="样式 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">
    <w:name w:val="样式 2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4">
    <w:name w:val="样式 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">
    <w:name w:val="样式 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">
    <w:name w:val="样式 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8">
    <w:name w:val="样式 1 三号"/>
    <w:next w:val="24"/>
    <w:pPr>
      <w:widowControl w:val="0"/>
      <w:spacing w:line="560" w:lineRule="exact"/>
      <w:jc w:val="both"/>
    </w:pPr>
    <w:rPr>
      <w:rFonts w:ascii="Times New Roman" w:eastAsia="方正仿宋_GBK" w:cs="Times New Roman" w:hAnsi="Times New Roman"/>
      <w:spacing w:val="-4"/>
      <w:kern w:val="2"/>
      <w:sz w:val="32"/>
      <w:szCs w:val="20"/>
      <w:lang w:val="en-US" w:eastAsia="zh-CN" w:bidi="ar-SA"/>
    </w:rPr>
  </w:style>
  <w:style w:type="paragraph" w:customStyle="1" w:styleId="39">
    <w:name w:val="样式 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0">
    <w:name w:val="样式 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styleId="41">
    <w:name w:val="line number"/>
    <w:basedOn w:val="10"/>
  </w:style>
  <w:style w:type="paragraph" w:styleId="42">
    <w:name w:val="Normal (Web)"/>
    <w:basedOn w:val="0"/>
    <w:next w:val="15"/>
    <w:pPr>
      <w:widowControl w:val="0"/>
      <w:spacing w:before="100" w:beforeAutospacing="1" w:after="100" w:afterAutospacing="1"/>
    </w:pPr>
    <w:rPr>
      <w:rFonts w:ascii="宋体" w:eastAsia="宋体" w:cs="宋体"/>
      <w:kern w:val="0"/>
      <w:sz w:val="24"/>
      <w:szCs w:val="21"/>
      <w:lang w:val="en-US" w:eastAsia="zh-CN" w:bidi="ar-SA"/>
    </w:rPr>
  </w:style>
  <w:style w:type="paragraph" w:customStyle="1" w:styleId="43">
    <w:name w:val="样式 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4">
    <w:name w:val="样式 3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5">
    <w:name w:val="样式 4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6">
    <w:name w:val="样式 3 三号"/>
    <w:pPr>
      <w:widowControl w:val="0"/>
      <w:spacing w:line="560" w:lineRule="exact"/>
      <w:jc w:val="both"/>
    </w:pPr>
    <w:rPr>
      <w:rFonts w:ascii="Times New Roman" w:eastAsia="方正仿宋_GBK" w:cs="Times New Roman" w:hAnsi="Times New Roman"/>
      <w:spacing w:val="-4"/>
      <w:kern w:val="2"/>
      <w:sz w:val="32"/>
      <w:szCs w:val="20"/>
      <w:lang w:val="en-US" w:eastAsia="zh-CN" w:bidi="ar-SA"/>
    </w:rPr>
  </w:style>
  <w:style w:type="paragraph" w:customStyle="1" w:styleId="47">
    <w:name w:val="样式 5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8">
    <w:name w:val="样式 1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9">
    <w:name w:val="样式 1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0">
    <w:name w:val="样式 1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1">
    <w:name w:val="样式 1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2">
    <w:name w:val="样式 1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3">
    <w:name w:val="样式 1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54">
    <w:name w:val="toc 9"/>
    <w:basedOn w:val="0"/>
    <w:autoRedefine/>
    <w:next w:val="0"/>
    <w:pPr>
      <w:ind w:left="3360"/>
    </w:pPr>
  </w:style>
  <w:style w:type="paragraph" w:styleId="55">
    <w:name w:val="Normal Indent"/>
    <w:basedOn w:val="0"/>
    <w:pPr>
      <w:ind w:firstLine="420"/>
    </w:pPr>
  </w:style>
  <w:style w:type="paragraph" w:customStyle="1" w:styleId="56">
    <w:name w:val="样式 1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7">
    <w:name w:val="样式 9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8">
    <w:name w:val="样式 4 三号"/>
    <w:pPr>
      <w:widowControl w:val="0"/>
      <w:spacing w:line="560" w:lineRule="exact"/>
      <w:jc w:val="both"/>
    </w:pPr>
    <w:rPr>
      <w:rFonts w:ascii="Times New Roman" w:eastAsia="方正仿宋_GBK" w:cs="Times New Roman" w:hAnsi="Times New Roman"/>
      <w:spacing w:val="-4"/>
      <w:kern w:val="2"/>
      <w:sz w:val="32"/>
      <w:szCs w:val="20"/>
      <w:lang w:val="en-US" w:eastAsia="zh-CN" w:bidi="ar-SA"/>
    </w:rPr>
  </w:style>
  <w:style w:type="paragraph" w:customStyle="1" w:styleId="59">
    <w:name w:val="样式 1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0">
    <w:name w:val="样式 1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1">
    <w:name w:val="样式 1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2">
    <w:name w:val="样式 5 三号"/>
    <w:next w:val="46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3">
    <w:name w:val="公式样式 文本"/>
    <w:autoRedefine/>
    <w:rPr>
      <w:rFonts w:ascii="Times New Roman" w:eastAsia="宋体" w:cs="Times New Roman" w:hAnsi="Times New Roman"/>
      <w:b w:val="0"/>
      <w:i w:val="0"/>
      <w:sz w:val="20"/>
      <w:szCs w:val="20"/>
      <w:lang w:val="en-US" w:eastAsia="zh-CN" w:bidi="ar-SA"/>
    </w:rPr>
  </w:style>
  <w:style w:type="paragraph" w:customStyle="1" w:styleId="64">
    <w:name w:val="样式 15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5">
    <w:name w:val="样式 2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6">
    <w:name w:val="样式 2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7">
    <w:name w:val="样式 2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8">
    <w:name w:val="样式 2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9">
    <w:name w:val="样式 2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0">
    <w:name w:val="样式 6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157</TotalTime>
  <Application>Yozo_Office</Application>
  <Pages>2</Pages>
  <Words>769</Words>
  <Characters>811</Characters>
  <Lines>40</Lines>
  <Paragraphs>16</Paragraphs>
  <CharactersWithSpaces>812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杨小桐</dc:creator>
  <cp:lastModifiedBy>刘欣棉（外部)</cp:lastModifiedBy>
  <cp:revision>1</cp:revision>
  <dcterms:created xsi:type="dcterms:W3CDTF">2025-02-12T03:12:21Z</dcterms:created>
  <dcterms:modified xsi:type="dcterms:W3CDTF">2025-09-09T08:41:19Z</dcterms:modified>
</cp:coreProperties>
</file>